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50" w:rsidRPr="00D96895" w:rsidRDefault="00C76E50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76E50" w:rsidRPr="00C76E50" w:rsidRDefault="00D96895" w:rsidP="00C76E50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 </w:t>
      </w:r>
      <w:r w:rsidR="00C76E50" w:rsidRPr="008E0BF8">
        <w:rPr>
          <w:rFonts w:ascii="Arial Narrow" w:eastAsia="Times New Roman" w:hAnsi="Arial Narrow" w:cs="Arial"/>
          <w:sz w:val="28"/>
          <w:szCs w:val="28"/>
          <w:lang w:eastAsia="es-ES"/>
        </w:rPr>
        <w:t xml:space="preserve">con proyecto de decreto para adicionar diversas disposiciones de la </w:t>
      </w:r>
      <w:r w:rsidR="00C76E50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>Ley de Participación Ciudadana para el Estado de Coahuila de Zaragoza.</w:t>
      </w:r>
    </w:p>
    <w:p w:rsidR="00C76E50" w:rsidRDefault="00C76E50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76E50" w:rsidRPr="00C76E50" w:rsidRDefault="00C76E50" w:rsidP="00C76E5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C76E50">
        <w:rPr>
          <w:rFonts w:ascii="Arial Narrow" w:eastAsia="Times New Roman" w:hAnsi="Arial Narrow" w:cs="Arial"/>
          <w:b/>
          <w:sz w:val="28"/>
          <w:szCs w:val="28"/>
          <w:lang w:eastAsia="es-ES"/>
        </w:rPr>
        <w:t>Con el fin de dotar a los ciudadanos de Coahuila de herramientas que les permitan una mayor participación en las decisiones de nuestro gobierno y fomentar la rendición de cuentas.</w:t>
      </w:r>
    </w:p>
    <w:p w:rsidR="00C76E50" w:rsidRDefault="00C76E50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7E1C30" w:rsidRPr="00C76E50" w:rsidRDefault="00D96895" w:rsidP="007E1C30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</w:t>
      </w:r>
      <w:r w:rsidR="00C76E50">
        <w:rPr>
          <w:rFonts w:ascii="Arial Narrow" w:eastAsia="Times New Roman" w:hAnsi="Arial Narrow" w:cs="Arial"/>
          <w:sz w:val="28"/>
          <w:szCs w:val="28"/>
          <w:lang w:eastAsia="es-ES"/>
        </w:rPr>
        <w:t xml:space="preserve">el </w:t>
      </w:r>
      <w:r w:rsidR="00C76E50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 Alfonso </w:t>
      </w:r>
      <w:proofErr w:type="spellStart"/>
      <w:r w:rsidR="00C76E50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>Danao</w:t>
      </w:r>
      <w:proofErr w:type="spellEnd"/>
      <w:r w:rsidR="00C76E50" w:rsidRPr="008E0BF8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la Peña Villarreal</w:t>
      </w:r>
      <w:r w:rsidR="00C76E50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="00C76E50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30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r w:rsidR="00C76E50">
        <w:rPr>
          <w:rFonts w:ascii="Arial Narrow" w:eastAsia="Times New Roman" w:hAnsi="Arial Narrow" w:cs="Arial"/>
          <w:b/>
          <w:sz w:val="28"/>
          <w:szCs w:val="28"/>
          <w:lang w:eastAsia="es-ES"/>
        </w:rPr>
        <w:t>Julio</w:t>
      </w: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2021.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</w:pPr>
      <w:r w:rsidRPr="00D96895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es-ES"/>
        </w:rPr>
      </w:pP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Decreto No. </w:t>
      </w:r>
    </w:p>
    <w:p w:rsidR="00D96895" w:rsidRP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</w:pPr>
    </w:p>
    <w:p w:rsidR="00D96895" w:rsidRDefault="00D9689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  <w:r w:rsidRPr="00D96895">
        <w:rPr>
          <w:rFonts w:ascii="Arial Narrow" w:eastAsia="Times New Roman" w:hAnsi="Arial Narrow" w:cs="Arial"/>
          <w:color w:val="000000"/>
          <w:sz w:val="28"/>
          <w:szCs w:val="20"/>
          <w:lang w:eastAsia="es-ES"/>
        </w:rPr>
        <w:t>Publicación en el Periódico Oficial del Gobierno del Estado:</w:t>
      </w:r>
      <w:r w:rsidRPr="00D96895"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  <w:t xml:space="preserve"> </w:t>
      </w:r>
    </w:p>
    <w:p w:rsidR="000C4A65" w:rsidRDefault="000C4A6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0C4A65" w:rsidRDefault="000C4A6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0C4A65" w:rsidRDefault="000C4A6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0C4A65" w:rsidRDefault="000C4A6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0C4A65" w:rsidRPr="00D96895" w:rsidRDefault="000C4A65" w:rsidP="00D968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0"/>
          <w:lang w:eastAsia="es-ES"/>
        </w:rPr>
      </w:pPr>
    </w:p>
    <w:p w:rsidR="004005E6" w:rsidRDefault="004005E6" w:rsidP="003547FE">
      <w:pPr>
        <w:pStyle w:val="CM7"/>
        <w:spacing w:line="360" w:lineRule="auto"/>
        <w:jc w:val="both"/>
        <w:rPr>
          <w:b/>
          <w:color w:val="000000"/>
        </w:rPr>
        <w:sectPr w:rsidR="004005E6" w:rsidSect="003547FE">
          <w:headerReference w:type="default" r:id="rId7"/>
          <w:pgSz w:w="12240" w:h="15840" w:code="1"/>
          <w:pgMar w:top="1418" w:right="1418" w:bottom="1418" w:left="1418" w:header="567" w:footer="567" w:gutter="0"/>
          <w:cols w:space="720"/>
          <w:noEndnote/>
        </w:sectPr>
      </w:pPr>
    </w:p>
    <w:p w:rsidR="009A263A" w:rsidRPr="00B34E11" w:rsidRDefault="000C4A65" w:rsidP="00B34E11">
      <w:pPr>
        <w:pStyle w:val="CM7"/>
        <w:jc w:val="right"/>
        <w:rPr>
          <w:rFonts w:ascii="Arial" w:hAnsi="Arial" w:cs="Arial"/>
          <w:i/>
          <w:iCs/>
          <w:sz w:val="18"/>
          <w:szCs w:val="22"/>
        </w:rPr>
      </w:pPr>
      <w:r w:rsidRPr="00B34E11">
        <w:rPr>
          <w:rFonts w:ascii="Arial" w:hAnsi="Arial" w:cs="Arial"/>
          <w:b/>
          <w:i/>
          <w:sz w:val="18"/>
          <w:szCs w:val="22"/>
        </w:rPr>
        <w:lastRenderedPageBreak/>
        <w:t>ASUNTO:</w:t>
      </w:r>
      <w:r w:rsidRPr="00B34E11">
        <w:rPr>
          <w:rFonts w:ascii="Arial" w:hAnsi="Arial" w:cs="Arial"/>
          <w:i/>
          <w:sz w:val="18"/>
          <w:szCs w:val="22"/>
        </w:rPr>
        <w:t xml:space="preserve"> </w:t>
      </w:r>
      <w:r w:rsidRPr="00B34E11">
        <w:rPr>
          <w:rFonts w:ascii="Arial" w:hAnsi="Arial" w:cs="Arial"/>
          <w:i/>
          <w:iCs/>
          <w:sz w:val="18"/>
          <w:szCs w:val="22"/>
        </w:rPr>
        <w:t xml:space="preserve">Iniciativa Ciudadana del </w:t>
      </w:r>
      <w:r w:rsidRPr="00B34E11">
        <w:rPr>
          <w:rFonts w:ascii="Arial" w:hAnsi="Arial" w:cs="Arial"/>
          <w:i/>
          <w:sz w:val="18"/>
          <w:szCs w:val="22"/>
        </w:rPr>
        <w:t xml:space="preserve">C. </w:t>
      </w:r>
      <w:r w:rsidRPr="00B34E11">
        <w:rPr>
          <w:rFonts w:ascii="Arial" w:hAnsi="Arial" w:cs="Arial"/>
          <w:i/>
          <w:iCs/>
          <w:sz w:val="18"/>
          <w:szCs w:val="22"/>
        </w:rPr>
        <w:t xml:space="preserve">Alfonso </w:t>
      </w:r>
      <w:proofErr w:type="spellStart"/>
      <w:r w:rsidRPr="00B34E11">
        <w:rPr>
          <w:rFonts w:ascii="Arial" w:hAnsi="Arial" w:cs="Arial"/>
          <w:i/>
          <w:iCs/>
          <w:sz w:val="18"/>
          <w:szCs w:val="22"/>
        </w:rPr>
        <w:t>Danao</w:t>
      </w:r>
      <w:proofErr w:type="spellEnd"/>
    </w:p>
    <w:p w:rsidR="000C4A65" w:rsidRPr="00B34E11" w:rsidRDefault="000C4A65" w:rsidP="00B34E11">
      <w:pPr>
        <w:pStyle w:val="Default"/>
        <w:jc w:val="right"/>
        <w:rPr>
          <w:rFonts w:ascii="Arial" w:hAnsi="Arial" w:cs="Arial"/>
          <w:i/>
          <w:iCs/>
          <w:sz w:val="18"/>
          <w:szCs w:val="22"/>
        </w:rPr>
      </w:pPr>
      <w:r w:rsidRPr="00B34E11">
        <w:rPr>
          <w:rFonts w:ascii="Arial" w:hAnsi="Arial" w:cs="Arial"/>
          <w:i/>
          <w:sz w:val="18"/>
          <w:szCs w:val="22"/>
        </w:rPr>
        <w:t xml:space="preserve">De </w:t>
      </w:r>
      <w:r w:rsidRPr="00B34E11">
        <w:rPr>
          <w:rFonts w:ascii="Arial" w:hAnsi="Arial" w:cs="Arial"/>
          <w:i/>
          <w:iCs/>
          <w:sz w:val="18"/>
          <w:szCs w:val="22"/>
        </w:rPr>
        <w:t>La peña Vil</w:t>
      </w:r>
      <w:r w:rsidRPr="00B34E11">
        <w:rPr>
          <w:rFonts w:ascii="Arial" w:hAnsi="Arial" w:cs="Arial"/>
          <w:i/>
          <w:iCs/>
          <w:sz w:val="18"/>
          <w:szCs w:val="22"/>
        </w:rPr>
        <w:t>l</w:t>
      </w:r>
      <w:r w:rsidRPr="00B34E11">
        <w:rPr>
          <w:rFonts w:ascii="Arial" w:hAnsi="Arial" w:cs="Arial"/>
          <w:i/>
          <w:iCs/>
          <w:sz w:val="18"/>
          <w:szCs w:val="22"/>
        </w:rPr>
        <w:t>arreal, por la cual se pretende modificar</w:t>
      </w:r>
    </w:p>
    <w:p w:rsidR="000C4A65" w:rsidRPr="00B34E11" w:rsidRDefault="000C4A65" w:rsidP="00B34E11">
      <w:pPr>
        <w:pStyle w:val="Default"/>
        <w:jc w:val="right"/>
        <w:rPr>
          <w:rFonts w:ascii="Arial" w:hAnsi="Arial" w:cs="Arial"/>
          <w:i/>
          <w:iCs/>
          <w:sz w:val="18"/>
          <w:szCs w:val="22"/>
        </w:rPr>
      </w:pPr>
      <w:r w:rsidRPr="00B34E11">
        <w:rPr>
          <w:rFonts w:ascii="Arial" w:hAnsi="Arial" w:cs="Arial"/>
          <w:i/>
          <w:iCs/>
          <w:sz w:val="18"/>
          <w:szCs w:val="22"/>
        </w:rPr>
        <w:t>la Ley de Participación Ciudadana para el</w:t>
      </w:r>
    </w:p>
    <w:p w:rsidR="000C4A65" w:rsidRPr="00B34E11" w:rsidRDefault="000C4A65" w:rsidP="00B34E11">
      <w:pPr>
        <w:pStyle w:val="Default"/>
        <w:jc w:val="right"/>
        <w:rPr>
          <w:rFonts w:ascii="Arial" w:hAnsi="Arial" w:cs="Arial"/>
          <w:i/>
          <w:iCs/>
          <w:sz w:val="18"/>
          <w:szCs w:val="22"/>
        </w:rPr>
      </w:pPr>
      <w:r w:rsidRPr="00B34E11">
        <w:rPr>
          <w:rFonts w:ascii="Arial" w:hAnsi="Arial" w:cs="Arial"/>
          <w:i/>
          <w:iCs/>
          <w:sz w:val="18"/>
          <w:szCs w:val="22"/>
        </w:rPr>
        <w:t>Estado Coahuila de Zaragoza.</w:t>
      </w:r>
    </w:p>
    <w:p w:rsidR="000C4A65" w:rsidRPr="00B34E11" w:rsidRDefault="000C4A65" w:rsidP="000C4A65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34E11">
        <w:rPr>
          <w:rFonts w:ascii="Arial" w:hAnsi="Arial" w:cs="Arial"/>
          <w:b/>
        </w:rPr>
        <w:t>DIPUTADOS LOCALES DE LA LXII LEGISLATURA.</w:t>
      </w: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34E11">
        <w:rPr>
          <w:rFonts w:ascii="Arial" w:hAnsi="Arial" w:cs="Arial"/>
          <w:b/>
        </w:rPr>
        <w:t>H. CONGRESO DEL ESTADO DE COAHUILA DE ZARAGOZA.</w:t>
      </w:r>
    </w:p>
    <w:p w:rsidR="000C4A65" w:rsidRPr="00B34E11" w:rsidRDefault="000C4A65" w:rsidP="000C4A65">
      <w:pPr>
        <w:pStyle w:val="Defaul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4E11">
        <w:rPr>
          <w:rFonts w:ascii="Arial" w:hAnsi="Arial" w:cs="Arial"/>
          <w:b/>
          <w:sz w:val="22"/>
          <w:szCs w:val="22"/>
        </w:rPr>
        <w:t>P R E S E N T E.</w:t>
      </w:r>
    </w:p>
    <w:p w:rsidR="000C4A65" w:rsidRPr="00B34E11" w:rsidRDefault="000C4A65" w:rsidP="000C4A65">
      <w:pPr>
        <w:pStyle w:val="Default"/>
        <w:jc w:val="both"/>
        <w:rPr>
          <w:i/>
          <w:sz w:val="22"/>
          <w:szCs w:val="22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 xml:space="preserve">El </w:t>
      </w:r>
      <w:r w:rsidRPr="00B34E11">
        <w:rPr>
          <w:rFonts w:ascii="Times" w:hAnsi="Times" w:cs="Times"/>
        </w:rPr>
        <w:t xml:space="preserve">C. </w:t>
      </w:r>
      <w:r w:rsidRPr="00B34E11">
        <w:rPr>
          <w:rFonts w:ascii="Arial" w:hAnsi="Arial" w:cs="Arial"/>
        </w:rPr>
        <w:t xml:space="preserve">Alfonso </w:t>
      </w:r>
      <w:proofErr w:type="spellStart"/>
      <w:r w:rsidRPr="00B34E11">
        <w:rPr>
          <w:rFonts w:ascii="Arial" w:hAnsi="Arial" w:cs="Arial"/>
        </w:rPr>
        <w:t>Danao</w:t>
      </w:r>
      <w:proofErr w:type="spellEnd"/>
      <w:r w:rsidRPr="00B34E11">
        <w:rPr>
          <w:rFonts w:ascii="Arial" w:hAnsi="Arial" w:cs="Arial"/>
        </w:rPr>
        <w:t xml:space="preserve"> De La Peña Villarreal, mayor de edad, Coahuilense y con domicilio para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oír y recibir notificaciones en Calle Leona Vicario #102, Zona Centro en Saltillo,</w:t>
      </w:r>
      <w:r w:rsidRPr="00B34E11">
        <w:rPr>
          <w:rFonts w:ascii="Arial" w:hAnsi="Arial" w:cs="Arial"/>
        </w:rPr>
        <w:t xml:space="preserve"> Coahuila </w:t>
      </w:r>
      <w:r w:rsidRPr="00B34E11">
        <w:rPr>
          <w:rFonts w:ascii="Arial" w:hAnsi="Arial" w:cs="Arial"/>
        </w:rPr>
        <w:t>con la finalidad dé contribuir al quehacer legislativo, me permito proponer diversas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adiciones a la Ley de Participación Ciudadana de nuestro estado con la finalidad de dotar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 los ciudadanos de Coahuila de herramientas que les permitan una mayor participación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en las decisiones de nuestro gobierno y fomentar la rendición de cuentas.</w:t>
      </w: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34E11">
        <w:rPr>
          <w:rFonts w:ascii="Arial" w:hAnsi="Arial" w:cs="Arial"/>
          <w:b/>
        </w:rPr>
        <w:t>EXPOSIC</w:t>
      </w:r>
      <w:r w:rsidRPr="00B34E11">
        <w:rPr>
          <w:rFonts w:ascii="Arial" w:hAnsi="Arial" w:cs="Arial"/>
          <w:b/>
        </w:rPr>
        <w:t>I</w:t>
      </w:r>
      <w:r w:rsidRPr="00B34E11">
        <w:rPr>
          <w:rFonts w:ascii="Arial" w:hAnsi="Arial" w:cs="Arial"/>
          <w:b/>
        </w:rPr>
        <w:t>ÓN DE MOTIVOS</w:t>
      </w: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El 16 de Noviembre de 2001, fue publicado en el Periódico Oficial de Coahuila, la ley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Participación Ciudadana para el Estado de Coahuila de Zaragoza, en la mencionada ley se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incluyeron diversos mecanismos de democracia directa en nuestro estado entre ellas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posibilidad de que los ciudadanos presenten iniciativas de ley ante el Congreso, a fin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que los ciudadanos ejerzamos de manera plena y oportuna nuestros derechos políticos en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el quehacer público de Coahuila.</w:t>
      </w: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Nuestro estado reconoce que la participación ciudadana representa una forma genuina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colaboración política entre ciudadanos y autoridades gubernamentales, a fin de que éstos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sean partícipes directos en el proceso de toma de decisiones del Estado y no limitarlos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simplemente a la elección de sus representantes; y como Estado moderno otorga los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mecanismos más eficientes para lograr la legitimidad democrática del sistema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gobierno, mediante el consenso de la población tanto en la elaboración de leyes y normas,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como en la solución de controversias y las decisiones respecto a los asuntos públicos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mayor relevancia para el estado.</w:t>
      </w:r>
    </w:p>
    <w:p w:rsidR="000C4A65" w:rsidRPr="00B34E11" w:rsidRDefault="000C4A65" w:rsidP="000C4A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Tomando en cuenta lo anterior y considerando los grandes avances que se han realizado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 xml:space="preserve">en diversos estados de nuestro país para hacer cada vez </w:t>
      </w:r>
      <w:proofErr w:type="spellStart"/>
      <w:r w:rsidRPr="00B34E11">
        <w:rPr>
          <w:rFonts w:ascii="Arial" w:hAnsi="Arial" w:cs="Arial"/>
        </w:rPr>
        <w:t>mas</w:t>
      </w:r>
      <w:proofErr w:type="spellEnd"/>
      <w:r w:rsidRPr="00B34E11">
        <w:rPr>
          <w:rFonts w:ascii="Arial" w:hAnsi="Arial" w:cs="Arial"/>
        </w:rPr>
        <w:t xml:space="preserve"> directa y efectiva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participación ciudadana es que me permito proponer la siguiente adición por medio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iniciativa ciudadana, la cual otorgará a los ciudadanos de Coahuila una mayor participación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no solo en la elaboración de leyes si no que los hará parte activa en la rendición de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cuentas y la entrega de resultados por parte de sus autoridades.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Propongo que se modifique el siguiente artículo de la LEY DE PARTICIPAC</w:t>
      </w: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ÓN CIUDADANA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PARA EL ESTADO DE COAHUILA DE ZARAGOZA, Artículo 4,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  <w:b/>
        </w:rPr>
        <w:t>ACTUAL: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“</w:t>
      </w:r>
      <w:r w:rsidRPr="00B34E11">
        <w:rPr>
          <w:rFonts w:ascii="Arial" w:hAnsi="Arial" w:cs="Arial"/>
        </w:rPr>
        <w:t>ART</w:t>
      </w:r>
      <w:r w:rsidRPr="00B34E11">
        <w:rPr>
          <w:rFonts w:ascii="Arial" w:hAnsi="Arial" w:cs="Arial"/>
        </w:rPr>
        <w:t>Í</w:t>
      </w:r>
      <w:r w:rsidRPr="00B34E11">
        <w:rPr>
          <w:rFonts w:ascii="Arial" w:hAnsi="Arial" w:cs="Arial"/>
        </w:rPr>
        <w:t>CULO 4°. LOS INSTRUMENTOS DE PARTICIPAC</w:t>
      </w: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ÓN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CIUDADANA Y/O COMUNITARIA. Los instrumentos de participación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ciudadana y/o comunitaria son: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El plebiscito.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El referendo.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La iniciativa popular.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La consulta popular.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lastRenderedPageBreak/>
        <w:t>V. La colaboración comunitaria.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VI. La audiencia pública.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VII. Los demás que establezcan otras disposiciones aplicables o las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autoridades estatales o municipales, en los ámbitos de sus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competencias, para garantizar la participación ciudadana y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comunitaria en su vida pública.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  <w:b/>
        </w:rPr>
        <w:t xml:space="preserve">SE PROPONE: </w:t>
      </w:r>
      <w:r w:rsidRPr="00B34E11">
        <w:rPr>
          <w:rFonts w:ascii="Arial" w:hAnsi="Arial" w:cs="Arial"/>
        </w:rPr>
        <w:t>ART</w:t>
      </w:r>
      <w:r w:rsidRPr="00B34E11">
        <w:rPr>
          <w:rFonts w:ascii="Arial" w:hAnsi="Arial" w:cs="Arial"/>
        </w:rPr>
        <w:t>Í</w:t>
      </w:r>
      <w:r w:rsidRPr="00B34E11">
        <w:rPr>
          <w:rFonts w:ascii="Arial" w:hAnsi="Arial" w:cs="Arial"/>
        </w:rPr>
        <w:t>CULO 4°. LOS INSTRUMENTOS DE PARTICIPAC</w:t>
      </w:r>
      <w:r w:rsidRPr="00B34E11">
        <w:rPr>
          <w:rFonts w:ascii="Arial" w:hAnsi="Arial" w:cs="Arial"/>
        </w:rPr>
        <w:t>Í</w:t>
      </w:r>
      <w:r w:rsidRPr="00B34E11">
        <w:rPr>
          <w:rFonts w:ascii="Arial" w:hAnsi="Arial" w:cs="Arial"/>
        </w:rPr>
        <w:t>ÓN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CIUDADANA Y/O COMUNITARIA. Los instrumentos de participación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ciudadana y/o comunitaria son: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El plebiscito.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El referendo.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La iniciativa popular.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La consulta popular.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V. La colaboración comunitaria.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VI. La audiencia pública.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VII. La Comparecencia Pública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VIII. Los demás que establezcan otras disposiciones aplicables o las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autoridades estatales o municipales, en los ámbitos de sus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competencias, para garantizar la participación ciudadana y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comunitaria en su vida pública.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  <w:b/>
        </w:rPr>
        <w:t>Se propone el siguiente articulado para integrar la fracción correspondiente 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“</w:t>
      </w:r>
      <w:r w:rsidRPr="00B34E11">
        <w:rPr>
          <w:rFonts w:ascii="Arial" w:hAnsi="Arial" w:cs="Arial"/>
        </w:rPr>
        <w:t>VII.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Comparecencia Pública</w:t>
      </w:r>
      <w:r w:rsidRPr="00B34E11">
        <w:rPr>
          <w:rFonts w:ascii="Arial" w:hAnsi="Arial" w:cs="Arial"/>
        </w:rPr>
        <w:t>”</w:t>
      </w:r>
      <w:r w:rsidRPr="00B34E11">
        <w:rPr>
          <w:rFonts w:ascii="Arial" w:hAnsi="Arial" w:cs="Arial"/>
        </w:rPr>
        <w:t xml:space="preserve"> :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1.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La comparecencia pública es el mecanismo de participación y democracia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deliberativa mediante el cual los habitantes del Estado o un Municipio dialogan y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debaten con los funcionarios públicos del Estado o los municipios para solicitarles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rendición de cuentas, pedir información, proponer acciones, cuestionar y solicitar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realización de determinados actos o la adopción de acuerdos.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2.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Durante la comparecencia pública los habitantes podrán: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Solicitar y recibir información respecto a la actuación del Gobierno;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Solicitar la rendición de cuentas sobre determinados actos de gobierno;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Proponer a las personas titulares de las dependencias la adopción de medidas o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la realización de determinados actos;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Informar a las y los funcionarios públicos de sucesos relevantes que sean de su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competencia o sean de interés social;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V. Analizar el cumplimiento de los programas, planes y políticas públicas; y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VI. Evaluar el desempeño de la administración pública.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3.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Pueden ser citadas a comparecencias públicas las siguientes personas servidoras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</w:t>
      </w:r>
      <w:r w:rsidRPr="00B34E11">
        <w:rPr>
          <w:rFonts w:ascii="Arial" w:hAnsi="Arial" w:cs="Arial"/>
        </w:rPr>
        <w:t>ú</w:t>
      </w:r>
      <w:r w:rsidRPr="00B34E11">
        <w:rPr>
          <w:rFonts w:ascii="Arial" w:hAnsi="Arial" w:cs="Arial"/>
        </w:rPr>
        <w:t>blicas: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La persona titular del Poder Ejecutivo;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Las personas titulares de las Secretarías, de la Fiscalía General y de los organismos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públicos descentralizados del Gobierno del Estado;.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Las y los Diputados del Congreso del Estado;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Las y los Magistrados del Poder Judicial;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V. Las y los Presidentes Municipales, Síndicos y Regidores de los Ayuntamientos; y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VI. Las personas integrantes de los organismos constitucionales autónomos.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4.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Pueden solicitar la comparecencia pública con al menos el 0.1 por ciento de los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habitantes de la demarcación territorial donde tenga competencia la autoridad de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que se solicite la comparecencia, de acuerdo al último censo realizado por el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Instituto Nacional de Estadística y Geografía.</w:t>
      </w:r>
    </w:p>
    <w:p w:rsidR="00914670" w:rsidRPr="00B34E11" w:rsidRDefault="00914670" w:rsidP="00914670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5.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la solicitud debe contener por lo menos los siguientes datos: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 xml:space="preserve">l. Nombre de la persona representante común de los </w:t>
      </w:r>
      <w:proofErr w:type="spellStart"/>
      <w:r w:rsidRPr="00B34E11">
        <w:rPr>
          <w:rFonts w:ascii="Arial" w:hAnsi="Arial" w:cs="Arial"/>
        </w:rPr>
        <w:t>promoventes</w:t>
      </w:r>
      <w:proofErr w:type="spellEnd"/>
      <w:r w:rsidRPr="00B34E11">
        <w:rPr>
          <w:rFonts w:ascii="Arial" w:hAnsi="Arial" w:cs="Arial"/>
        </w:rPr>
        <w:t>;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Manifestación de conducirse bajo protesta de decir verdad;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Domicilio para recibir notificaciones en la capital del Estado cuando la iniciativa se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dirija al Gobernador o al Congreso o en la cabecera municipal cuando se dirija a un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Ayuntamiento;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Nombre y cargo del funcionario que se pretende citar a comparecer;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V. El tema a tratar; y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VI. Nombre completo y firma de las y los habitantes solicitantes.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2. Ningún servidor público puede fungir como representante común.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6.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La organización y desarrollo de las comparecencias p</w:t>
      </w:r>
      <w:r w:rsidRPr="00B34E11">
        <w:rPr>
          <w:rFonts w:ascii="Arial" w:hAnsi="Arial" w:cs="Arial"/>
        </w:rPr>
        <w:t>ú</w:t>
      </w:r>
      <w:r w:rsidRPr="00B34E11">
        <w:rPr>
          <w:rFonts w:ascii="Arial" w:hAnsi="Arial" w:cs="Arial"/>
        </w:rPr>
        <w:t>blicas serán delegadas al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Gobierno del Estado, al Congreso del Estado, a los Ayuntamientos o al titular de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dependencia u organismo que corresponda.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2. la solicitud de comparecencia de servidores públicos del ámbito estatal se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presenta ante el titular de la Secretaría u organismo que corresponda, se le asigna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número consecutivo de registro que debe indicar el orden de presentación y fecha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de inscripción.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lastRenderedPageBreak/>
        <w:t>3. La solicitud de comparecencia de servidores públicos del ámbito municipal se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presenta ante el Secretario del Ayuntamiento Municipal correspondiente, se le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asigna número consecutivo de registro que debe indicar el orden de presentación y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fecha de inscripción.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4. En un plazo no mayor a 5 días el compareciente en cuestión deberá fijar fecha y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hora para la comparecencia, por ningún motivo la mencionada podría tener como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fecha un plazo mayor a 5 días desde presentada la solicitud.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5. la convocatoria que se emita para la comparecencia, debe contener por lo menos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lo siguiente: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Nombre y cargo de las y los funcionarios convocados;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Lugar, día y hora para la realización de la comparecencia;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El formato bajo el que se desarrollará la comparecencia; y</w:t>
      </w: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8F7F5E" w:rsidRPr="00B34E11" w:rsidRDefault="008F7F5E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Tema a tratar.</w:t>
      </w:r>
    </w:p>
    <w:p w:rsidR="00914670" w:rsidRPr="00B34E11" w:rsidRDefault="00914670" w:rsidP="008F7F5E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6. Los servidores públicos citados tienen la obligación de acudir el día, hora y lugar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señalados en la convocatoria.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7.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 xml:space="preserve">1. La comparecencia pública se lleva a cabo de forma presencial, en un solo acto </w:t>
      </w:r>
      <w:r w:rsidRPr="00B34E11">
        <w:rPr>
          <w:rFonts w:ascii="Arial" w:hAnsi="Arial" w:cs="Arial"/>
        </w:rPr>
        <w:t xml:space="preserve">y </w:t>
      </w:r>
      <w:r w:rsidRPr="00B34E11">
        <w:rPr>
          <w:rFonts w:ascii="Arial" w:hAnsi="Arial" w:cs="Arial"/>
        </w:rPr>
        <w:t>pueden asistir: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La o las personas funcionarias en cuestión;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Las y los solicitantes;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Cualquier persona habitante del Estado de Coahuila interesada.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8.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El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acta de acuerdos correspondiente a las comparecencias públicas, debe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contener por lo menos lo siguiente: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</w:t>
      </w:r>
      <w:r w:rsidRPr="00B34E11">
        <w:rPr>
          <w:rFonts w:ascii="Arial" w:hAnsi="Arial" w:cs="Arial"/>
        </w:rPr>
        <w:t>. Nombres de los servidores públicos y habitantes que participaron;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</w:t>
      </w:r>
      <w:r w:rsidRPr="00B34E11">
        <w:rPr>
          <w:rFonts w:ascii="Arial" w:hAnsi="Arial" w:cs="Arial"/>
        </w:rPr>
        <w:t>. Puntos tratados;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III</w:t>
      </w:r>
      <w:r w:rsidRPr="00B34E11">
        <w:rPr>
          <w:rFonts w:ascii="Arial" w:hAnsi="Arial" w:cs="Arial"/>
        </w:rPr>
        <w:t>. Acuerdos tomados;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IV. Dependencias que deben dar seguimiento a los acuerdos; y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V</w:t>
      </w:r>
      <w:r w:rsidRPr="00B34E11">
        <w:rPr>
          <w:rFonts w:ascii="Arial" w:hAnsi="Arial" w:cs="Arial"/>
        </w:rPr>
        <w:t>. Señalamiento de los servidores p</w:t>
      </w:r>
      <w:r w:rsidRPr="00B34E11">
        <w:rPr>
          <w:rFonts w:ascii="Arial" w:hAnsi="Arial" w:cs="Arial"/>
        </w:rPr>
        <w:t>ú</w:t>
      </w:r>
      <w:r w:rsidRPr="00B34E11">
        <w:rPr>
          <w:rFonts w:ascii="Arial" w:hAnsi="Arial" w:cs="Arial"/>
        </w:rPr>
        <w:t>blicos responsables de la ejecución de las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acciones aprobadas.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lastRenderedPageBreak/>
        <w:t>2. El acta de acuerdos se levanta en original y tres copias; se entrega una copia a la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 xml:space="preserve">autoridad compareciente, otra al representante común de los </w:t>
      </w:r>
      <w:proofErr w:type="spellStart"/>
      <w:r w:rsidRPr="00B34E11">
        <w:rPr>
          <w:rFonts w:ascii="Arial" w:hAnsi="Arial" w:cs="Arial"/>
        </w:rPr>
        <w:t>promoventes</w:t>
      </w:r>
      <w:proofErr w:type="spellEnd"/>
      <w:r w:rsidRPr="00B34E11">
        <w:rPr>
          <w:rFonts w:ascii="Arial" w:hAnsi="Arial" w:cs="Arial"/>
        </w:rPr>
        <w:t xml:space="preserve"> y se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remite otra más al superior jerárquico del compareciente ..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Artículo 9.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1. El acta de acuerdos correspondiente a las comparecencias públicas de ámbito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estatal se publica en el Periódico Oficial del Estado a más tardar cinco días después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de que concluya.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2. El acta de acuerdos correspondiente a las comparecencias públicas de ámbito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municipal se publica en la Gaceta Municipal o en el medio de comunicación oficial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con el que cuente a más tardar cinco días después de que concluya.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34E11">
        <w:rPr>
          <w:rFonts w:ascii="Arial" w:hAnsi="Arial" w:cs="Arial"/>
        </w:rPr>
        <w:t>Convencido de que las modificaciones propuestas con anterioridad y manifestadas en el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presente documento contribuirán considerablemente a mejorar la participación ciudadana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y la rendición de cuentas en nuestro estado. agradezco de antemano a las y los Diputados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Integrantes de la LXII Legislatura la presente sea discutida a la brevedad con la finalidad</w:t>
      </w:r>
      <w:r w:rsidRPr="00B34E11">
        <w:rPr>
          <w:rFonts w:ascii="Arial" w:hAnsi="Arial" w:cs="Arial"/>
        </w:rPr>
        <w:t xml:space="preserve"> </w:t>
      </w:r>
      <w:r w:rsidRPr="00B34E11">
        <w:rPr>
          <w:rFonts w:ascii="Arial" w:hAnsi="Arial" w:cs="Arial"/>
        </w:rPr>
        <w:t>de que pueda sufrir las modificaciones necesarias para su aprobación y entrada en vigor.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34E11">
        <w:rPr>
          <w:rFonts w:ascii="Arial" w:hAnsi="Arial" w:cs="Arial"/>
          <w:b/>
        </w:rPr>
        <w:t>A T E NT A M E N T E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B34E11">
        <w:rPr>
          <w:rFonts w:ascii="Arial" w:hAnsi="Arial" w:cs="Arial"/>
          <w:b/>
          <w:bCs/>
          <w:i/>
          <w:iCs/>
        </w:rPr>
        <w:t xml:space="preserve">Mtro. Alfonso </w:t>
      </w:r>
      <w:proofErr w:type="spellStart"/>
      <w:r w:rsidRPr="00B34E11">
        <w:rPr>
          <w:rFonts w:ascii="Arial" w:hAnsi="Arial" w:cs="Arial"/>
          <w:b/>
          <w:bCs/>
          <w:i/>
          <w:iCs/>
        </w:rPr>
        <w:t>Danao</w:t>
      </w:r>
      <w:proofErr w:type="spellEnd"/>
      <w:r w:rsidRPr="00B34E11">
        <w:rPr>
          <w:rFonts w:ascii="Arial" w:hAnsi="Arial" w:cs="Arial"/>
          <w:b/>
          <w:bCs/>
          <w:i/>
          <w:iCs/>
        </w:rPr>
        <w:t xml:space="preserve"> De La Peña Villarreal</w:t>
      </w:r>
    </w:p>
    <w:p w:rsidR="00B34E11" w:rsidRPr="00B34E11" w:rsidRDefault="00B34E11" w:rsidP="00B34E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34E11">
        <w:rPr>
          <w:rFonts w:ascii="Arial" w:hAnsi="Arial" w:cs="Arial"/>
        </w:rPr>
        <w:t>Saltillo. Coa</w:t>
      </w:r>
      <w:bookmarkStart w:id="0" w:name="_GoBack"/>
      <w:bookmarkEnd w:id="0"/>
      <w:r w:rsidRPr="00B34E11">
        <w:rPr>
          <w:rFonts w:ascii="Arial" w:hAnsi="Arial" w:cs="Arial"/>
        </w:rPr>
        <w:t>huila a 19 de Julio del 2021</w:t>
      </w:r>
    </w:p>
    <w:sectPr w:rsidR="00B34E11" w:rsidRPr="00B34E11" w:rsidSect="003547FE">
      <w:headerReference w:type="default" r:id="rId8"/>
      <w:pgSz w:w="12240" w:h="15840" w:code="1"/>
      <w:pgMar w:top="1418" w:right="1418" w:bottom="1418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D3" w:rsidRDefault="00B372D3" w:rsidP="00D96895">
      <w:pPr>
        <w:spacing w:after="0" w:line="240" w:lineRule="auto"/>
      </w:pPr>
      <w:r>
        <w:separator/>
      </w:r>
    </w:p>
  </w:endnote>
  <w:endnote w:type="continuationSeparator" w:id="0">
    <w:p w:rsidR="00B372D3" w:rsidRDefault="00B372D3" w:rsidP="00D9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D3" w:rsidRDefault="00B372D3" w:rsidP="00D96895">
      <w:pPr>
        <w:spacing w:after="0" w:line="240" w:lineRule="auto"/>
      </w:pPr>
      <w:r>
        <w:separator/>
      </w:r>
    </w:p>
  </w:footnote>
  <w:footnote w:type="continuationSeparator" w:id="0">
    <w:p w:rsidR="00B372D3" w:rsidRDefault="00B372D3" w:rsidP="00D9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96895" w:rsidRPr="00611C7F" w:rsidTr="002837DC">
      <w:trPr>
        <w:jc w:val="center"/>
      </w:trPr>
      <w:tc>
        <w:tcPr>
          <w:tcW w:w="1541" w:type="dxa"/>
        </w:tcPr>
        <w:p w:rsidR="00D96895" w:rsidRPr="00611C7F" w:rsidRDefault="00DE3E57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2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611C7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96895" w:rsidRPr="00611C7F" w:rsidRDefault="00D96895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:rsidR="00D96895" w:rsidRPr="00611C7F" w:rsidRDefault="00D96895" w:rsidP="00D968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  <w:r w:rsidRPr="00611C7F">
            <w:rPr>
              <w:rFonts w:ascii="Arial" w:eastAsia="Times New Roman" w:hAnsi="Arial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D96895" w:rsidRPr="00611C7F" w:rsidRDefault="00D96895" w:rsidP="00D968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96895" w:rsidRDefault="00D968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E6" w:rsidRDefault="00400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3E6"/>
    <w:multiLevelType w:val="hybridMultilevel"/>
    <w:tmpl w:val="997CA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FE"/>
    <w:rsid w:val="000C4A65"/>
    <w:rsid w:val="00243209"/>
    <w:rsid w:val="0026372C"/>
    <w:rsid w:val="003547FE"/>
    <w:rsid w:val="004005E6"/>
    <w:rsid w:val="00492CB0"/>
    <w:rsid w:val="005D6F0E"/>
    <w:rsid w:val="00663080"/>
    <w:rsid w:val="00713B2D"/>
    <w:rsid w:val="0076245A"/>
    <w:rsid w:val="007E1C30"/>
    <w:rsid w:val="008F7F5E"/>
    <w:rsid w:val="00914670"/>
    <w:rsid w:val="009612A3"/>
    <w:rsid w:val="009A263A"/>
    <w:rsid w:val="00B34E11"/>
    <w:rsid w:val="00B372D3"/>
    <w:rsid w:val="00B923F3"/>
    <w:rsid w:val="00C76E50"/>
    <w:rsid w:val="00D96895"/>
    <w:rsid w:val="00DE3E57"/>
    <w:rsid w:val="00E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329A4"/>
  <w14:defaultImageDpi w14:val="0"/>
  <w15:docId w15:val="{AD252FA3-6CED-4C05-ABED-8D672E7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895"/>
  </w:style>
  <w:style w:type="paragraph" w:styleId="Piedepgina">
    <w:name w:val="footer"/>
    <w:basedOn w:val="Normal"/>
    <w:link w:val="PiedepginaCar"/>
    <w:uiPriority w:val="99"/>
    <w:unhideWhenUsed/>
    <w:rsid w:val="00D968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95"/>
  </w:style>
  <w:style w:type="paragraph" w:styleId="Prrafodelista">
    <w:name w:val="List Paragraph"/>
    <w:basedOn w:val="Normal"/>
    <w:uiPriority w:val="34"/>
    <w:qFormat/>
    <w:rsid w:val="0091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Juan Lumbreras</dc:creator>
  <cp:keywords/>
  <dc:description/>
  <cp:lastModifiedBy>Juan Lumbreras</cp:lastModifiedBy>
  <cp:revision>9</cp:revision>
  <dcterms:created xsi:type="dcterms:W3CDTF">2021-08-02T19:53:00Z</dcterms:created>
  <dcterms:modified xsi:type="dcterms:W3CDTF">2021-08-04T19:07:00Z</dcterms:modified>
</cp:coreProperties>
</file>