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7A" w:rsidRDefault="007A447A" w:rsidP="007A447A">
      <w:pPr>
        <w:ind w:right="1"/>
        <w:rPr>
          <w:rFonts w:eastAsia="Times New Roman"/>
          <w:b/>
          <w:sz w:val="28"/>
          <w:szCs w:val="28"/>
          <w:lang w:eastAsia="es-ES"/>
        </w:rPr>
      </w:pPr>
    </w:p>
    <w:p w:rsidR="00112E9A" w:rsidRDefault="00112E9A" w:rsidP="007A447A">
      <w:pPr>
        <w:ind w:right="1"/>
        <w:rPr>
          <w:rFonts w:eastAsia="Times New Roman"/>
          <w:b/>
          <w:sz w:val="28"/>
          <w:szCs w:val="28"/>
          <w:lang w:eastAsia="es-ES"/>
        </w:rPr>
      </w:pPr>
    </w:p>
    <w:p w:rsidR="00112E9A" w:rsidRPr="00112E9A" w:rsidRDefault="007A447A" w:rsidP="007A447A">
      <w:pPr>
        <w:rPr>
          <w:rFonts w:ascii="Arial Narrow" w:eastAsia="Times New Roman" w:hAnsi="Arial Narrow" w:cs="Times New Roman"/>
          <w:b/>
          <w:color w:val="000000"/>
          <w:sz w:val="26"/>
          <w:szCs w:val="26"/>
          <w:lang w:eastAsia="es-ES"/>
        </w:rPr>
      </w:pPr>
      <w:r w:rsidRPr="007A447A">
        <w:rPr>
          <w:rFonts w:ascii="Arial Narrow" w:eastAsia="Times New Roman" w:hAnsi="Arial Narrow" w:cs="Times New Roman"/>
          <w:color w:val="000000"/>
          <w:sz w:val="26"/>
          <w:szCs w:val="26"/>
          <w:lang w:eastAsia="es-ES"/>
        </w:rPr>
        <w:t xml:space="preserve">Iniciativa con Proyecto de Decreto por la que adiciona un segundo párrafo al artículo 23 de la </w:t>
      </w:r>
      <w:r w:rsidRPr="00112E9A">
        <w:rPr>
          <w:rFonts w:ascii="Arial Narrow" w:eastAsia="Times New Roman" w:hAnsi="Arial Narrow" w:cs="Times New Roman"/>
          <w:b/>
          <w:color w:val="000000"/>
          <w:sz w:val="26"/>
          <w:szCs w:val="26"/>
          <w:lang w:eastAsia="es-ES"/>
        </w:rPr>
        <w:t>Ley de Acceso a la Información Pública para el Estado de Coahuila de Zaragoza</w:t>
      </w:r>
      <w:r w:rsidR="00112E9A" w:rsidRPr="00112E9A">
        <w:rPr>
          <w:rFonts w:ascii="Arial Narrow" w:eastAsia="Times New Roman" w:hAnsi="Arial Narrow" w:cs="Times New Roman"/>
          <w:b/>
          <w:color w:val="000000"/>
          <w:sz w:val="26"/>
          <w:szCs w:val="26"/>
          <w:lang w:eastAsia="es-ES"/>
        </w:rPr>
        <w:t>.</w:t>
      </w:r>
    </w:p>
    <w:p w:rsidR="00112E9A" w:rsidRDefault="00112E9A" w:rsidP="007A447A">
      <w:pPr>
        <w:rPr>
          <w:rFonts w:ascii="Arial Narrow" w:eastAsia="Times New Roman" w:hAnsi="Arial Narrow" w:cs="Times New Roman"/>
          <w:color w:val="000000"/>
          <w:sz w:val="26"/>
          <w:szCs w:val="26"/>
          <w:lang w:eastAsia="es-ES"/>
        </w:rPr>
      </w:pPr>
    </w:p>
    <w:p w:rsidR="007A447A" w:rsidRPr="00112E9A" w:rsidRDefault="00112E9A" w:rsidP="00112E9A">
      <w:pPr>
        <w:numPr>
          <w:ilvl w:val="0"/>
          <w:numId w:val="1"/>
        </w:numPr>
        <w:rPr>
          <w:rFonts w:ascii="Arial Narrow" w:eastAsia="Times New Roman" w:hAnsi="Arial Narrow" w:cs="Times New Roman"/>
          <w:b/>
          <w:color w:val="000000"/>
          <w:sz w:val="26"/>
          <w:szCs w:val="26"/>
          <w:lang w:eastAsia="es-ES"/>
        </w:rPr>
      </w:pPr>
      <w:r w:rsidRPr="00112E9A">
        <w:rPr>
          <w:rFonts w:ascii="Arial Narrow" w:eastAsia="Times New Roman" w:hAnsi="Arial Narrow" w:cs="Times New Roman"/>
          <w:b/>
          <w:color w:val="000000"/>
          <w:sz w:val="26"/>
          <w:szCs w:val="26"/>
          <w:lang w:eastAsia="es-ES"/>
        </w:rPr>
        <w:t>C</w:t>
      </w:r>
      <w:r w:rsidR="007A447A" w:rsidRPr="00112E9A">
        <w:rPr>
          <w:rFonts w:ascii="Arial Narrow" w:eastAsia="Times New Roman" w:hAnsi="Arial Narrow" w:cs="Times New Roman"/>
          <w:b/>
          <w:color w:val="000000"/>
          <w:sz w:val="26"/>
          <w:szCs w:val="26"/>
          <w:lang w:eastAsia="es-ES"/>
        </w:rPr>
        <w:t>on la finalidad de establecer que en los periodos de actualización de los portales web por cambio de administración; los sujetos obligado entreguen toda la información pública de oficio a los solicitantes</w:t>
      </w:r>
      <w:r w:rsidRPr="00112E9A">
        <w:rPr>
          <w:rFonts w:ascii="Arial Narrow" w:eastAsia="Times New Roman" w:hAnsi="Arial Narrow" w:cs="Times New Roman"/>
          <w:b/>
          <w:color w:val="000000"/>
          <w:sz w:val="26"/>
          <w:szCs w:val="26"/>
          <w:lang w:eastAsia="es-ES"/>
        </w:rPr>
        <w:t>,</w:t>
      </w:r>
      <w:r w:rsidR="007A447A" w:rsidRPr="00112E9A">
        <w:rPr>
          <w:rFonts w:ascii="Arial Narrow" w:eastAsia="Times New Roman" w:hAnsi="Arial Narrow" w:cs="Times New Roman"/>
          <w:b/>
          <w:color w:val="000000"/>
          <w:sz w:val="26"/>
          <w:szCs w:val="26"/>
          <w:lang w:eastAsia="es-ES"/>
        </w:rPr>
        <w:t xml:space="preserve"> aunque no esté publicada, o se encuentre en proceso de actualización.</w:t>
      </w:r>
    </w:p>
    <w:p w:rsidR="007A447A" w:rsidRDefault="007A447A" w:rsidP="007A447A">
      <w:pPr>
        <w:ind w:right="1"/>
        <w:rPr>
          <w:rFonts w:eastAsia="Times New Roman"/>
          <w:b/>
          <w:sz w:val="28"/>
          <w:szCs w:val="28"/>
          <w:lang w:eastAsia="es-ES"/>
        </w:rPr>
      </w:pPr>
    </w:p>
    <w:p w:rsidR="007A447A" w:rsidRPr="007A447A" w:rsidRDefault="007A447A" w:rsidP="007A447A">
      <w:pPr>
        <w:rPr>
          <w:rFonts w:ascii="Arial Narrow" w:eastAsia="Times New Roman" w:hAnsi="Arial Narrow" w:cs="Times New Roman"/>
          <w:color w:val="000000"/>
          <w:sz w:val="26"/>
          <w:szCs w:val="26"/>
          <w:lang w:eastAsia="es-ES"/>
        </w:rPr>
      </w:pPr>
      <w:r w:rsidRPr="007A447A">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el </w:t>
      </w:r>
      <w:r w:rsidRPr="007A447A">
        <w:rPr>
          <w:rFonts w:ascii="Arial Narrow" w:eastAsia="Times New Roman" w:hAnsi="Arial Narrow" w:cs="Times New Roman"/>
          <w:b/>
          <w:color w:val="000000"/>
          <w:sz w:val="26"/>
          <w:szCs w:val="26"/>
          <w:lang w:eastAsia="es-ES"/>
        </w:rPr>
        <w:t xml:space="preserve">Diputado Rodolfo Gerardo </w:t>
      </w:r>
      <w:proofErr w:type="spellStart"/>
      <w:r w:rsidRPr="007A447A">
        <w:rPr>
          <w:rFonts w:ascii="Arial Narrow" w:eastAsia="Times New Roman" w:hAnsi="Arial Narrow" w:cs="Times New Roman"/>
          <w:b/>
          <w:color w:val="000000"/>
          <w:sz w:val="26"/>
          <w:szCs w:val="26"/>
          <w:lang w:eastAsia="es-ES"/>
        </w:rPr>
        <w:t>Walss</w:t>
      </w:r>
      <w:proofErr w:type="spellEnd"/>
      <w:r w:rsidRPr="007A447A">
        <w:rPr>
          <w:rFonts w:ascii="Arial Narrow" w:eastAsia="Times New Roman" w:hAnsi="Arial Narrow" w:cs="Times New Roman"/>
          <w:b/>
          <w:color w:val="000000"/>
          <w:sz w:val="26"/>
          <w:szCs w:val="26"/>
          <w:lang w:eastAsia="es-ES"/>
        </w:rPr>
        <w:t xml:space="preserve"> </w:t>
      </w:r>
      <w:proofErr w:type="spellStart"/>
      <w:r w:rsidRPr="007A447A">
        <w:rPr>
          <w:rFonts w:ascii="Arial Narrow" w:eastAsia="Times New Roman" w:hAnsi="Arial Narrow" w:cs="Times New Roman"/>
          <w:b/>
          <w:color w:val="000000"/>
          <w:sz w:val="26"/>
          <w:szCs w:val="26"/>
          <w:lang w:eastAsia="es-ES"/>
        </w:rPr>
        <w:t>Aurioles</w:t>
      </w:r>
      <w:proofErr w:type="spellEnd"/>
      <w:r w:rsidRPr="007A447A">
        <w:rPr>
          <w:rFonts w:ascii="Arial Narrow" w:eastAsia="Times New Roman" w:hAnsi="Arial Narrow" w:cs="Times New Roman"/>
          <w:color w:val="000000"/>
          <w:sz w:val="26"/>
          <w:szCs w:val="26"/>
          <w:lang w:eastAsia="es-ES"/>
        </w:rPr>
        <w:t>, del Grupo Parlamentario “Carlos Alberto Páez Falcón”, del Partido Acción Nacional.</w:t>
      </w:r>
    </w:p>
    <w:p w:rsidR="007A447A" w:rsidRPr="007A447A" w:rsidRDefault="007A447A" w:rsidP="007A447A">
      <w:pPr>
        <w:rPr>
          <w:rFonts w:ascii="Arial Narrow" w:eastAsia="Times New Roman" w:hAnsi="Arial Narrow" w:cs="Times New Roman"/>
          <w:color w:val="000000"/>
          <w:sz w:val="26"/>
          <w:szCs w:val="26"/>
          <w:lang w:eastAsia="es-ES"/>
        </w:rPr>
      </w:pPr>
    </w:p>
    <w:p w:rsidR="007A447A" w:rsidRPr="007A447A" w:rsidRDefault="007A447A" w:rsidP="007A447A">
      <w:pPr>
        <w:rPr>
          <w:rFonts w:ascii="Arial Narrow" w:eastAsia="Times New Roman" w:hAnsi="Arial Narrow" w:cs="Times New Roman"/>
          <w:b/>
          <w:color w:val="000000"/>
          <w:sz w:val="26"/>
          <w:szCs w:val="26"/>
          <w:lang w:eastAsia="es-ES"/>
        </w:rPr>
      </w:pPr>
      <w:r w:rsidRPr="007A447A">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26</w:t>
      </w:r>
      <w:r w:rsidRPr="007A447A">
        <w:rPr>
          <w:rFonts w:ascii="Arial Narrow" w:eastAsia="Times New Roman" w:hAnsi="Arial Narrow" w:cs="Times New Roman"/>
          <w:b/>
          <w:color w:val="000000"/>
          <w:sz w:val="26"/>
          <w:szCs w:val="26"/>
          <w:lang w:eastAsia="es-ES"/>
        </w:rPr>
        <w:t xml:space="preserve"> de </w:t>
      </w:r>
      <w:proofErr w:type="gramStart"/>
      <w:r w:rsidRPr="007A447A">
        <w:rPr>
          <w:rFonts w:ascii="Arial Narrow" w:eastAsia="Times New Roman" w:hAnsi="Arial Narrow" w:cs="Times New Roman"/>
          <w:b/>
          <w:color w:val="000000"/>
          <w:sz w:val="26"/>
          <w:szCs w:val="26"/>
          <w:lang w:eastAsia="es-ES"/>
        </w:rPr>
        <w:t>Octubre</w:t>
      </w:r>
      <w:proofErr w:type="gramEnd"/>
      <w:r w:rsidRPr="007A447A">
        <w:rPr>
          <w:rFonts w:ascii="Arial Narrow" w:eastAsia="Times New Roman" w:hAnsi="Arial Narrow" w:cs="Times New Roman"/>
          <w:b/>
          <w:color w:val="000000"/>
          <w:sz w:val="26"/>
          <w:szCs w:val="26"/>
          <w:lang w:eastAsia="es-ES"/>
        </w:rPr>
        <w:t xml:space="preserve"> de 2021.</w:t>
      </w:r>
    </w:p>
    <w:p w:rsidR="007A447A" w:rsidRPr="007A447A" w:rsidRDefault="007A447A" w:rsidP="007A447A">
      <w:pPr>
        <w:rPr>
          <w:rFonts w:ascii="Arial Narrow" w:eastAsia="Times New Roman" w:hAnsi="Arial Narrow"/>
          <w:sz w:val="26"/>
          <w:szCs w:val="26"/>
          <w:lang w:eastAsia="es-ES"/>
        </w:rPr>
      </w:pPr>
    </w:p>
    <w:p w:rsidR="007A447A" w:rsidRPr="007A447A" w:rsidRDefault="007A447A" w:rsidP="007A447A">
      <w:pPr>
        <w:rPr>
          <w:rFonts w:ascii="Arial Narrow" w:eastAsia="Times New Roman" w:hAnsi="Arial Narrow" w:cs="Times New Roman"/>
          <w:b/>
          <w:color w:val="000000"/>
          <w:sz w:val="26"/>
          <w:szCs w:val="26"/>
          <w:lang w:eastAsia="es-ES"/>
        </w:rPr>
      </w:pPr>
      <w:r w:rsidRPr="007A447A">
        <w:rPr>
          <w:rFonts w:ascii="Arial Narrow" w:eastAsia="Times New Roman" w:hAnsi="Arial Narrow" w:cs="Times New Roman"/>
          <w:color w:val="000000"/>
          <w:sz w:val="26"/>
          <w:szCs w:val="26"/>
          <w:lang w:eastAsia="es-ES"/>
        </w:rPr>
        <w:t xml:space="preserve">Turnada a la </w:t>
      </w:r>
      <w:r w:rsidRPr="007A447A">
        <w:rPr>
          <w:rFonts w:ascii="Arial Narrow" w:eastAsia="Times New Roman" w:hAnsi="Arial Narrow" w:cs="Times New Roman"/>
          <w:b/>
          <w:color w:val="000000"/>
          <w:sz w:val="26"/>
          <w:szCs w:val="26"/>
          <w:lang w:eastAsia="es-ES"/>
        </w:rPr>
        <w:t>Comisión de Transparencia y Acceso a la Información.</w:t>
      </w:r>
    </w:p>
    <w:p w:rsidR="007A447A" w:rsidRPr="007A447A" w:rsidRDefault="007A447A" w:rsidP="007A447A">
      <w:pPr>
        <w:rPr>
          <w:rFonts w:ascii="Arial Narrow" w:eastAsia="Times New Roman" w:hAnsi="Arial Narrow" w:cs="Times New Roman"/>
          <w:color w:val="000000"/>
          <w:sz w:val="26"/>
          <w:szCs w:val="26"/>
          <w:lang w:eastAsia="es-ES"/>
        </w:rPr>
      </w:pPr>
    </w:p>
    <w:p w:rsidR="007A447A" w:rsidRPr="007A447A" w:rsidRDefault="007A447A" w:rsidP="007A447A">
      <w:pPr>
        <w:rPr>
          <w:rFonts w:ascii="Arial Narrow" w:eastAsia="Times New Roman" w:hAnsi="Arial Narrow" w:cs="Times New Roman"/>
          <w:b/>
          <w:color w:val="000000"/>
          <w:sz w:val="26"/>
          <w:szCs w:val="26"/>
          <w:lang w:eastAsia="es-ES"/>
        </w:rPr>
      </w:pPr>
      <w:r w:rsidRPr="007A447A">
        <w:rPr>
          <w:rFonts w:ascii="Arial Narrow" w:eastAsia="Times New Roman" w:hAnsi="Arial Narrow" w:cs="Times New Roman"/>
          <w:b/>
          <w:color w:val="000000"/>
          <w:sz w:val="26"/>
          <w:szCs w:val="26"/>
          <w:lang w:eastAsia="es-ES"/>
        </w:rPr>
        <w:t xml:space="preserve">Fecha de lectura del dictamen: </w:t>
      </w:r>
    </w:p>
    <w:p w:rsidR="007A447A" w:rsidRPr="007A447A" w:rsidRDefault="007A447A" w:rsidP="007A447A">
      <w:pPr>
        <w:rPr>
          <w:rFonts w:ascii="Arial Narrow" w:eastAsia="Times New Roman" w:hAnsi="Arial Narrow" w:cs="Times New Roman"/>
          <w:color w:val="000000"/>
          <w:sz w:val="26"/>
          <w:szCs w:val="26"/>
          <w:lang w:eastAsia="es-ES"/>
        </w:rPr>
      </w:pPr>
    </w:p>
    <w:p w:rsidR="007A447A" w:rsidRPr="007A447A" w:rsidRDefault="007A447A" w:rsidP="007A447A">
      <w:pPr>
        <w:ind w:left="1418" w:hanging="1418"/>
        <w:rPr>
          <w:rFonts w:ascii="Arial Narrow" w:eastAsia="Times New Roman" w:hAnsi="Arial Narrow" w:cs="Times New Roman"/>
          <w:b/>
          <w:color w:val="000000"/>
          <w:sz w:val="26"/>
          <w:szCs w:val="26"/>
          <w:lang w:eastAsia="es-ES"/>
        </w:rPr>
      </w:pPr>
      <w:r w:rsidRPr="007A447A">
        <w:rPr>
          <w:rFonts w:ascii="Arial Narrow" w:eastAsia="Times New Roman" w:hAnsi="Arial Narrow" w:cs="Times New Roman"/>
          <w:b/>
          <w:color w:val="000000"/>
          <w:sz w:val="26"/>
          <w:szCs w:val="26"/>
          <w:lang w:eastAsia="es-ES"/>
        </w:rPr>
        <w:t xml:space="preserve">Decreto No. </w:t>
      </w:r>
    </w:p>
    <w:p w:rsidR="007A447A" w:rsidRPr="007A447A" w:rsidRDefault="007A447A" w:rsidP="007A447A">
      <w:pPr>
        <w:ind w:left="1418" w:hanging="1418"/>
        <w:rPr>
          <w:rFonts w:ascii="Arial Narrow" w:eastAsia="Times New Roman" w:hAnsi="Arial Narrow" w:cs="Times New Roman"/>
          <w:b/>
          <w:color w:val="000000"/>
          <w:sz w:val="26"/>
          <w:szCs w:val="26"/>
          <w:lang w:eastAsia="es-ES"/>
        </w:rPr>
      </w:pPr>
    </w:p>
    <w:p w:rsidR="007A447A" w:rsidRPr="007A447A" w:rsidRDefault="007A447A" w:rsidP="007A447A">
      <w:pPr>
        <w:rPr>
          <w:rFonts w:ascii="Arial Narrow" w:eastAsia="Times New Roman" w:hAnsi="Arial Narrow" w:cs="Times New Roman"/>
          <w:color w:val="000000"/>
          <w:sz w:val="26"/>
          <w:szCs w:val="26"/>
          <w:lang w:eastAsia="es-ES"/>
        </w:rPr>
      </w:pPr>
      <w:r w:rsidRPr="007A447A">
        <w:rPr>
          <w:rFonts w:ascii="Arial Narrow" w:eastAsia="Times New Roman" w:hAnsi="Arial Narrow" w:cs="Times New Roman"/>
          <w:color w:val="000000"/>
          <w:sz w:val="26"/>
          <w:szCs w:val="26"/>
          <w:lang w:eastAsia="es-ES"/>
        </w:rPr>
        <w:t xml:space="preserve">Publicación en el Periódico Oficial del Gobierno del Estado: </w:t>
      </w:r>
    </w:p>
    <w:p w:rsidR="007A447A" w:rsidRPr="007A447A" w:rsidRDefault="007A447A" w:rsidP="007A447A">
      <w:pPr>
        <w:rPr>
          <w:rFonts w:eastAsia="Times New Roman"/>
          <w:b/>
          <w:sz w:val="24"/>
          <w:szCs w:val="24"/>
          <w:lang w:eastAsia="es-ES"/>
        </w:rPr>
      </w:pPr>
    </w:p>
    <w:p w:rsidR="007A447A" w:rsidRPr="007A447A" w:rsidRDefault="007A447A" w:rsidP="007A447A">
      <w:pPr>
        <w:ind w:right="1"/>
        <w:rPr>
          <w:rFonts w:eastAsia="Times New Roman"/>
          <w:b/>
          <w:sz w:val="28"/>
          <w:szCs w:val="28"/>
          <w:lang w:eastAsia="es-ES"/>
        </w:rPr>
      </w:pPr>
    </w:p>
    <w:p w:rsidR="007A447A" w:rsidRPr="007A447A" w:rsidRDefault="007A447A" w:rsidP="007A447A">
      <w:pPr>
        <w:spacing w:after="120" w:line="276" w:lineRule="auto"/>
        <w:contextualSpacing/>
        <w:rPr>
          <w:rFonts w:eastAsia="Times New Roman"/>
          <w:b/>
          <w:sz w:val="28"/>
          <w:szCs w:val="28"/>
          <w:lang w:eastAsia="es-ES"/>
        </w:rPr>
      </w:pPr>
    </w:p>
    <w:p w:rsidR="007A447A" w:rsidRDefault="007A447A">
      <w:pPr>
        <w:rPr>
          <w:b/>
          <w:sz w:val="26"/>
          <w:szCs w:val="26"/>
        </w:rPr>
      </w:pPr>
    </w:p>
    <w:p w:rsidR="007A447A" w:rsidRDefault="007A447A">
      <w:pPr>
        <w:rPr>
          <w:b/>
          <w:sz w:val="26"/>
          <w:szCs w:val="26"/>
        </w:rPr>
      </w:pPr>
    </w:p>
    <w:p w:rsidR="007A447A" w:rsidRDefault="007A447A">
      <w:pPr>
        <w:rPr>
          <w:b/>
          <w:sz w:val="26"/>
          <w:szCs w:val="26"/>
        </w:rPr>
      </w:pPr>
      <w:r>
        <w:rPr>
          <w:b/>
          <w:sz w:val="26"/>
          <w:szCs w:val="26"/>
        </w:rPr>
        <w:br w:type="page"/>
      </w:r>
    </w:p>
    <w:p w:rsidR="004C3D22" w:rsidRPr="00FC2430" w:rsidRDefault="00752B3D">
      <w:pPr>
        <w:rPr>
          <w:b/>
          <w:sz w:val="26"/>
          <w:szCs w:val="26"/>
        </w:rPr>
      </w:pPr>
      <w:r w:rsidRPr="00FC2430">
        <w:rPr>
          <w:b/>
          <w:sz w:val="26"/>
          <w:szCs w:val="26"/>
        </w:rPr>
        <w:lastRenderedPageBreak/>
        <w:t xml:space="preserve">H. PLENO DEL CONGRESO DEL ESTADO </w:t>
      </w:r>
    </w:p>
    <w:p w:rsidR="004C3D22" w:rsidRPr="00FC2430" w:rsidRDefault="00752B3D">
      <w:pPr>
        <w:rPr>
          <w:b/>
          <w:sz w:val="26"/>
          <w:szCs w:val="26"/>
        </w:rPr>
      </w:pPr>
      <w:r w:rsidRPr="00FC2430">
        <w:rPr>
          <w:b/>
          <w:sz w:val="26"/>
          <w:szCs w:val="26"/>
        </w:rPr>
        <w:t>DE COAHUILA DE ZARAGOZA</w:t>
      </w:r>
    </w:p>
    <w:p w:rsidR="004C3D22" w:rsidRPr="00FC2430" w:rsidRDefault="00752B3D">
      <w:pPr>
        <w:rPr>
          <w:b/>
          <w:sz w:val="26"/>
          <w:szCs w:val="26"/>
        </w:rPr>
      </w:pPr>
      <w:proofErr w:type="gramStart"/>
      <w:r w:rsidRPr="00FC2430">
        <w:rPr>
          <w:b/>
          <w:sz w:val="26"/>
          <w:szCs w:val="26"/>
        </w:rPr>
        <w:t>PRESENTE.-</w:t>
      </w:r>
      <w:proofErr w:type="gramEnd"/>
    </w:p>
    <w:p w:rsidR="004C3D22" w:rsidRPr="00FC2430" w:rsidRDefault="004C3D22">
      <w:pPr>
        <w:rPr>
          <w:b/>
          <w:sz w:val="26"/>
          <w:szCs w:val="26"/>
        </w:rPr>
      </w:pPr>
    </w:p>
    <w:p w:rsidR="004C3D22" w:rsidRPr="00FC2430" w:rsidRDefault="004C3D22">
      <w:pPr>
        <w:rPr>
          <w:sz w:val="26"/>
          <w:szCs w:val="26"/>
        </w:rPr>
      </w:pPr>
    </w:p>
    <w:p w:rsidR="004C3D22" w:rsidRPr="00FC2430" w:rsidRDefault="00752B3D">
      <w:pPr>
        <w:spacing w:line="360" w:lineRule="auto"/>
        <w:rPr>
          <w:b/>
          <w:sz w:val="26"/>
          <w:szCs w:val="26"/>
        </w:rPr>
      </w:pPr>
      <w:bookmarkStart w:id="0" w:name="_gjdgxs" w:colFirst="0" w:colLast="0"/>
      <w:bookmarkEnd w:id="0"/>
      <w:r w:rsidRPr="00FC2430">
        <w:rPr>
          <w:b/>
          <w:sz w:val="26"/>
          <w:szCs w:val="26"/>
        </w:rPr>
        <w:t xml:space="preserve">Rodolfo Gerardo </w:t>
      </w:r>
      <w:proofErr w:type="spellStart"/>
      <w:r w:rsidRPr="00FC2430">
        <w:rPr>
          <w:b/>
          <w:sz w:val="26"/>
          <w:szCs w:val="26"/>
        </w:rPr>
        <w:t>Walss</w:t>
      </w:r>
      <w:proofErr w:type="spellEnd"/>
      <w:r w:rsidRPr="00FC2430">
        <w:rPr>
          <w:b/>
          <w:sz w:val="26"/>
          <w:szCs w:val="26"/>
        </w:rPr>
        <w:t xml:space="preserve"> </w:t>
      </w:r>
      <w:proofErr w:type="spellStart"/>
      <w:r w:rsidRPr="00FC2430">
        <w:rPr>
          <w:b/>
          <w:sz w:val="26"/>
          <w:szCs w:val="26"/>
        </w:rPr>
        <w:t>Aurioles</w:t>
      </w:r>
      <w:proofErr w:type="spellEnd"/>
      <w:r w:rsidRPr="00FC2430">
        <w:rPr>
          <w:b/>
          <w:sz w:val="26"/>
          <w:szCs w:val="26"/>
        </w:rPr>
        <w:t>, en mi carácter de diputado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adiciona un segundo párrafo al artículo 23  de la Ley de Acceso a la Información Pública para el Estado de Coahuila de Zaragoza; al tenor de la siguiente:</w:t>
      </w:r>
    </w:p>
    <w:p w:rsidR="004C3D22" w:rsidRPr="00FC2430" w:rsidRDefault="004C3D22">
      <w:pPr>
        <w:rPr>
          <w:b/>
          <w:sz w:val="26"/>
          <w:szCs w:val="26"/>
        </w:rPr>
      </w:pPr>
    </w:p>
    <w:p w:rsidR="004C3D22" w:rsidRPr="00FC2430" w:rsidRDefault="004C3D22">
      <w:pPr>
        <w:rPr>
          <w:b/>
          <w:sz w:val="26"/>
          <w:szCs w:val="26"/>
        </w:rPr>
      </w:pPr>
    </w:p>
    <w:p w:rsidR="004C3D22" w:rsidRPr="00FC2430" w:rsidRDefault="00752B3D">
      <w:pPr>
        <w:jc w:val="center"/>
        <w:rPr>
          <w:b/>
          <w:sz w:val="26"/>
          <w:szCs w:val="26"/>
        </w:rPr>
      </w:pPr>
      <w:r w:rsidRPr="00FC2430">
        <w:rPr>
          <w:b/>
          <w:sz w:val="26"/>
          <w:szCs w:val="26"/>
        </w:rPr>
        <w:t>EXPOSICIÓN DE MOTIVOS</w:t>
      </w:r>
    </w:p>
    <w:p w:rsidR="004C3D22" w:rsidRPr="00FC2430" w:rsidRDefault="004C3D22">
      <w:pPr>
        <w:jc w:val="center"/>
        <w:rPr>
          <w:b/>
          <w:sz w:val="26"/>
          <w:szCs w:val="26"/>
        </w:rPr>
      </w:pPr>
    </w:p>
    <w:p w:rsidR="004C3D22" w:rsidRPr="00FC2430" w:rsidRDefault="004C3D22">
      <w:pPr>
        <w:jc w:val="center"/>
        <w:rPr>
          <w:b/>
          <w:sz w:val="26"/>
          <w:szCs w:val="26"/>
        </w:rPr>
      </w:pPr>
    </w:p>
    <w:p w:rsidR="004C3D22" w:rsidRPr="00FC2430" w:rsidRDefault="00752B3D">
      <w:pPr>
        <w:spacing w:line="360" w:lineRule="auto"/>
        <w:rPr>
          <w:sz w:val="26"/>
          <w:szCs w:val="26"/>
        </w:rPr>
      </w:pPr>
      <w:bookmarkStart w:id="1" w:name="_30j0zll" w:colFirst="0" w:colLast="0"/>
      <w:bookmarkEnd w:id="1"/>
      <w:r w:rsidRPr="00FC2430">
        <w:rPr>
          <w:sz w:val="26"/>
          <w:szCs w:val="26"/>
        </w:rPr>
        <w:t xml:space="preserve">Para realizar la presente iniciativa, decidimos retomar un proyecto presentado por el grupo parlamentario del PAN en la anterior legislatura (LXI), en fecha 18 de junio del año 2019; en atención a que el planteamiento y el conflicto que se detallan en la misma continúan vigentes. </w:t>
      </w:r>
    </w:p>
    <w:p w:rsidR="004C3D22" w:rsidRPr="00FC2430" w:rsidRDefault="004C3D22">
      <w:pPr>
        <w:spacing w:line="360" w:lineRule="auto"/>
        <w:rPr>
          <w:sz w:val="26"/>
          <w:szCs w:val="26"/>
        </w:rPr>
      </w:pPr>
    </w:p>
    <w:p w:rsidR="004C3D22" w:rsidRPr="00FC2430" w:rsidRDefault="00752B3D">
      <w:pPr>
        <w:rPr>
          <w:sz w:val="26"/>
          <w:szCs w:val="26"/>
        </w:rPr>
      </w:pPr>
      <w:r w:rsidRPr="00FC2430">
        <w:rPr>
          <w:sz w:val="26"/>
          <w:szCs w:val="26"/>
        </w:rPr>
        <w:t xml:space="preserve"> </w:t>
      </w:r>
    </w:p>
    <w:p w:rsidR="004C3D22" w:rsidRPr="00FC2430" w:rsidRDefault="00752B3D">
      <w:pPr>
        <w:spacing w:line="360" w:lineRule="auto"/>
        <w:rPr>
          <w:sz w:val="26"/>
          <w:szCs w:val="26"/>
        </w:rPr>
      </w:pPr>
      <w:r w:rsidRPr="00FC2430">
        <w:rPr>
          <w:b/>
          <w:sz w:val="26"/>
          <w:szCs w:val="26"/>
        </w:rPr>
        <w:t xml:space="preserve"> </w:t>
      </w:r>
    </w:p>
    <w:p w:rsidR="004C3D22" w:rsidRPr="00FC2430" w:rsidRDefault="00752B3D">
      <w:pPr>
        <w:rPr>
          <w:sz w:val="26"/>
          <w:szCs w:val="26"/>
        </w:rPr>
      </w:pPr>
      <w:r w:rsidRPr="00FC2430">
        <w:rPr>
          <w:sz w:val="26"/>
          <w:szCs w:val="26"/>
        </w:rPr>
        <w:t>La Ley de Acceso de la Información Pública para el Estado de Coahuila, establece lo siguiente:</w:t>
      </w:r>
    </w:p>
    <w:p w:rsidR="004C3D22" w:rsidRPr="00FC2430" w:rsidRDefault="004C3D22">
      <w:pPr>
        <w:rPr>
          <w:sz w:val="26"/>
          <w:szCs w:val="26"/>
        </w:rPr>
      </w:pPr>
    </w:p>
    <w:p w:rsidR="004C3D22" w:rsidRPr="00FC2430" w:rsidRDefault="00752B3D">
      <w:pPr>
        <w:rPr>
          <w:sz w:val="26"/>
          <w:szCs w:val="26"/>
        </w:rPr>
      </w:pPr>
      <w:r w:rsidRPr="00FC2430">
        <w:rPr>
          <w:sz w:val="26"/>
          <w:szCs w:val="26"/>
        </w:rPr>
        <w:lastRenderedPageBreak/>
        <w:t>Artículo 21.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4C3D22" w:rsidRPr="00FC2430" w:rsidRDefault="00752B3D">
      <w:pPr>
        <w:rPr>
          <w:sz w:val="26"/>
          <w:szCs w:val="26"/>
        </w:rPr>
      </w:pPr>
      <w:r w:rsidRPr="00FC2430">
        <w:rPr>
          <w:sz w:val="26"/>
          <w:szCs w:val="26"/>
        </w:rPr>
        <w:t>…..</w:t>
      </w:r>
    </w:p>
    <w:p w:rsidR="004C3D22" w:rsidRPr="00FC2430" w:rsidRDefault="00752B3D">
      <w:pPr>
        <w:rPr>
          <w:sz w:val="26"/>
          <w:szCs w:val="26"/>
        </w:rPr>
      </w:pPr>
      <w:r w:rsidRPr="00FC2430">
        <w:rPr>
          <w:sz w:val="26"/>
          <w:szCs w:val="26"/>
        </w:rPr>
        <w:t>Artículo 23. Los sujetos obligados deberán informar al instituto, cuáles son los rubros del artículo 21 que no le sean aplicables a sus páginas de Internet, con el objeto de que verifique y apruebe de forma fundada y motivada la relación de fracciones aplicables a cada sujeto obligado.</w:t>
      </w:r>
    </w:p>
    <w:p w:rsidR="004C3D22" w:rsidRPr="00FC2430" w:rsidRDefault="004C3D22">
      <w:pPr>
        <w:rPr>
          <w:sz w:val="26"/>
          <w:szCs w:val="26"/>
        </w:rPr>
      </w:pPr>
    </w:p>
    <w:p w:rsidR="004C3D22" w:rsidRPr="00FC2430" w:rsidRDefault="00752B3D">
      <w:pPr>
        <w:rPr>
          <w:sz w:val="26"/>
          <w:szCs w:val="26"/>
        </w:rPr>
      </w:pPr>
      <w:r w:rsidRPr="00FC2430">
        <w:rPr>
          <w:sz w:val="26"/>
          <w:szCs w:val="26"/>
        </w:rPr>
        <w:t>Estas disposiciones, desde luego, son concordantes con las de la Ley General de Transparencia y Acceso a la Información Pública, que dispone en este mismo tema:</w:t>
      </w:r>
    </w:p>
    <w:p w:rsidR="004C3D22" w:rsidRPr="00FC2430" w:rsidRDefault="004C3D22">
      <w:pPr>
        <w:rPr>
          <w:sz w:val="26"/>
          <w:szCs w:val="26"/>
        </w:rPr>
      </w:pPr>
    </w:p>
    <w:p w:rsidR="004C3D22" w:rsidRPr="00FC2430" w:rsidRDefault="00752B3D">
      <w:pPr>
        <w:rPr>
          <w:sz w:val="26"/>
          <w:szCs w:val="26"/>
        </w:rPr>
      </w:pPr>
      <w:r w:rsidRPr="00FC2430">
        <w:rPr>
          <w:sz w:val="26"/>
          <w:szCs w:val="26"/>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4C3D22" w:rsidRPr="00FC2430" w:rsidRDefault="00752B3D">
      <w:pPr>
        <w:rPr>
          <w:sz w:val="26"/>
          <w:szCs w:val="26"/>
        </w:rPr>
      </w:pPr>
      <w:r w:rsidRPr="00FC2430">
        <w:rPr>
          <w:sz w:val="26"/>
          <w:szCs w:val="26"/>
        </w:rPr>
        <w:t>……</w:t>
      </w:r>
    </w:p>
    <w:p w:rsidR="004C3D22" w:rsidRPr="00FC2430" w:rsidRDefault="004C3D22">
      <w:pPr>
        <w:rPr>
          <w:sz w:val="26"/>
          <w:szCs w:val="26"/>
        </w:rPr>
      </w:pPr>
    </w:p>
    <w:p w:rsidR="004C3D22" w:rsidRPr="00FC2430" w:rsidRDefault="00752B3D">
      <w:pPr>
        <w:rPr>
          <w:sz w:val="26"/>
          <w:szCs w:val="26"/>
        </w:rPr>
      </w:pPr>
      <w:r w:rsidRPr="00FC2430">
        <w:rPr>
          <w:sz w:val="26"/>
          <w:szCs w:val="26"/>
        </w:rPr>
        <w:t>Artículo 71. Además de lo señalado en el artículo anterior de la presente Ley, los sujetos obligados de los Poderes Ejecutivos Federal, de las Entidades Federativas y municipales, deberán poner a disposición del público y actualizar la siguiente información:</w:t>
      </w:r>
    </w:p>
    <w:p w:rsidR="004C3D22" w:rsidRPr="00FC2430" w:rsidRDefault="00752B3D">
      <w:pPr>
        <w:rPr>
          <w:sz w:val="26"/>
          <w:szCs w:val="26"/>
        </w:rPr>
      </w:pPr>
      <w:r w:rsidRPr="00FC2430">
        <w:rPr>
          <w:sz w:val="26"/>
          <w:szCs w:val="26"/>
        </w:rPr>
        <w:t>….</w:t>
      </w:r>
    </w:p>
    <w:p w:rsidR="004C3D22" w:rsidRPr="00FC2430" w:rsidRDefault="00752B3D">
      <w:pPr>
        <w:rPr>
          <w:sz w:val="26"/>
          <w:szCs w:val="26"/>
        </w:rPr>
      </w:pPr>
      <w:r w:rsidRPr="00FC2430">
        <w:rPr>
          <w:sz w:val="26"/>
          <w:szCs w:val="26"/>
        </w:rPr>
        <w:t>Artículo 84. 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4C3D22" w:rsidRPr="00FC2430" w:rsidRDefault="004C3D22">
      <w:pPr>
        <w:rPr>
          <w:sz w:val="26"/>
          <w:szCs w:val="26"/>
        </w:rPr>
      </w:pPr>
    </w:p>
    <w:p w:rsidR="004C3D22" w:rsidRPr="00FC2430" w:rsidRDefault="00752B3D">
      <w:pPr>
        <w:rPr>
          <w:sz w:val="26"/>
          <w:szCs w:val="26"/>
        </w:rPr>
      </w:pPr>
      <w:r w:rsidRPr="00FC2430">
        <w:rPr>
          <w:sz w:val="26"/>
          <w:szCs w:val="26"/>
        </w:rPr>
        <w:t>Artículo 85. Los Organismos garantes vigilarán que las obligaciones de transparencia que publiquen los sujetos obligados cumplan con lo dispuesto en los artículos 70 a 83 de esta Ley y demás disposiciones aplicables.</w:t>
      </w:r>
    </w:p>
    <w:p w:rsidR="004C3D22" w:rsidRPr="00FC2430" w:rsidRDefault="004C3D22">
      <w:pPr>
        <w:rPr>
          <w:sz w:val="26"/>
          <w:szCs w:val="26"/>
        </w:rPr>
      </w:pPr>
    </w:p>
    <w:p w:rsidR="004C3D22" w:rsidRPr="00FC2430" w:rsidRDefault="00752B3D">
      <w:pPr>
        <w:rPr>
          <w:sz w:val="26"/>
          <w:szCs w:val="26"/>
        </w:rPr>
      </w:pPr>
      <w:r w:rsidRPr="00FC2430">
        <w:rPr>
          <w:sz w:val="26"/>
          <w:szCs w:val="26"/>
        </w:rPr>
        <w:t xml:space="preserve">Artículo 86. Las acciones de vigilancia a que se refiere este Capítulo, se realizarán a través de la verificación virtual. Esta vigilancia surgirá de los resultados de la verificación que se lleve a cabo de manera oficiosa por los Organismos garantes </w:t>
      </w:r>
      <w:r w:rsidRPr="00FC2430">
        <w:rPr>
          <w:sz w:val="26"/>
          <w:szCs w:val="26"/>
        </w:rPr>
        <w:lastRenderedPageBreak/>
        <w:t xml:space="preserve">al portal de Internet de los sujetos obligados o de la Plataforma Nacional, ya sea de forma aleatoria o </w:t>
      </w:r>
      <w:proofErr w:type="spellStart"/>
      <w:r w:rsidRPr="00FC2430">
        <w:rPr>
          <w:sz w:val="26"/>
          <w:szCs w:val="26"/>
        </w:rPr>
        <w:t>muestral</w:t>
      </w:r>
      <w:proofErr w:type="spellEnd"/>
      <w:r w:rsidRPr="00FC2430">
        <w:rPr>
          <w:sz w:val="26"/>
          <w:szCs w:val="26"/>
        </w:rPr>
        <w:t xml:space="preserve"> y periódica.</w:t>
      </w:r>
    </w:p>
    <w:p w:rsidR="004C3D22" w:rsidRPr="00FC2430" w:rsidRDefault="004C3D22">
      <w:pPr>
        <w:rPr>
          <w:sz w:val="26"/>
          <w:szCs w:val="26"/>
        </w:rPr>
      </w:pPr>
    </w:p>
    <w:p w:rsidR="004C3D22" w:rsidRPr="00FC2430" w:rsidRDefault="00752B3D">
      <w:pPr>
        <w:rPr>
          <w:sz w:val="26"/>
          <w:szCs w:val="26"/>
        </w:rPr>
      </w:pPr>
      <w:r w:rsidRPr="00FC2430">
        <w:rPr>
          <w:sz w:val="26"/>
          <w:szCs w:val="26"/>
        </w:rPr>
        <w:t>Artículo 87. La verificación tendrá por objeto revisar y constatar el debido cumplimiento a las obligaciones de transparencia en términos de lo previsto en los artículos 70 a 83 de esta Ley, según corresponda a cada sujeto obligado y demás disposiciones aplicables.</w:t>
      </w:r>
    </w:p>
    <w:p w:rsidR="004C3D22" w:rsidRPr="00FC2430" w:rsidRDefault="004C3D22">
      <w:pPr>
        <w:rPr>
          <w:sz w:val="26"/>
          <w:szCs w:val="26"/>
        </w:rPr>
      </w:pPr>
    </w:p>
    <w:p w:rsidR="004C3D22" w:rsidRPr="00FC2430" w:rsidRDefault="00752B3D">
      <w:pPr>
        <w:rPr>
          <w:sz w:val="26"/>
          <w:szCs w:val="26"/>
        </w:rPr>
      </w:pPr>
      <w:r w:rsidRPr="00FC2430">
        <w:rPr>
          <w:sz w:val="26"/>
          <w:szCs w:val="26"/>
        </w:rPr>
        <w:t>Sin embargo, existen, de acuerdo a los dos ordenamientos antes señalados, los llamado periodos de actualización de la información, que son los lapsos que se confieren a los sujetos obligados para que actualicen las páginas y plataformas web, y cumplan con todo lo establecido tanto en la Ley General, como en la local, a efectos de publicar toda la información que señalan ambos ordenamientos.</w:t>
      </w:r>
    </w:p>
    <w:p w:rsidR="004C3D22" w:rsidRPr="00FC2430" w:rsidRDefault="004C3D22">
      <w:pPr>
        <w:rPr>
          <w:sz w:val="26"/>
          <w:szCs w:val="26"/>
        </w:rPr>
      </w:pPr>
    </w:p>
    <w:p w:rsidR="004C3D22" w:rsidRPr="00FC2430" w:rsidRDefault="00752B3D">
      <w:pPr>
        <w:rPr>
          <w:sz w:val="26"/>
          <w:szCs w:val="26"/>
        </w:rPr>
      </w:pPr>
      <w:r w:rsidRPr="00FC2430">
        <w:rPr>
          <w:sz w:val="26"/>
          <w:szCs w:val="26"/>
        </w:rPr>
        <w:t xml:space="preserve">El problema se presenta especialmente durante los cambios de administración; pongamos como ejemplo a los municipios y a los poderes públicos, que, al ser renovados, se enfrentan al reto de modificar y actualizar su información pública mínima o pública oficial, datos como nóminas, proveedores, contratos de obra pública, contratos de publicidad, padrones de beneficiarios de sus programas sociales o asistenciales, actas de sesiones, presupuestos, declaraciones patrimoniales, inventario de bienes muebles e inmuebles, convenios y demás.  </w:t>
      </w:r>
    </w:p>
    <w:p w:rsidR="004C3D22" w:rsidRPr="00FC2430" w:rsidRDefault="004C3D22">
      <w:pPr>
        <w:rPr>
          <w:sz w:val="26"/>
          <w:szCs w:val="26"/>
        </w:rPr>
      </w:pPr>
    </w:p>
    <w:p w:rsidR="004C3D22" w:rsidRPr="00FC2430" w:rsidRDefault="00752B3D">
      <w:pPr>
        <w:rPr>
          <w:sz w:val="26"/>
          <w:szCs w:val="26"/>
        </w:rPr>
      </w:pPr>
      <w:r w:rsidRPr="00FC2430">
        <w:rPr>
          <w:sz w:val="26"/>
          <w:szCs w:val="26"/>
        </w:rPr>
        <w:t>Para ello, los organismos garantes, el INAI y los organismos garantes locales, deben establecer para los sujetos obligados una serie de lineamientos, etapas y metas con la finalidad de concretar la actualización y publicación de la información multicitada de parte de éstos.</w:t>
      </w:r>
    </w:p>
    <w:p w:rsidR="004C3D22" w:rsidRPr="00FC2430" w:rsidRDefault="004C3D22">
      <w:pPr>
        <w:rPr>
          <w:sz w:val="26"/>
          <w:szCs w:val="26"/>
        </w:rPr>
      </w:pPr>
    </w:p>
    <w:p w:rsidR="004C3D22" w:rsidRPr="00FC2430" w:rsidRDefault="00752B3D">
      <w:pPr>
        <w:rPr>
          <w:sz w:val="26"/>
          <w:szCs w:val="26"/>
          <w:u w:val="single"/>
        </w:rPr>
      </w:pPr>
      <w:r w:rsidRPr="00FC2430">
        <w:rPr>
          <w:sz w:val="26"/>
          <w:szCs w:val="26"/>
        </w:rPr>
        <w:t xml:space="preserve">Todo esto se hace en base al llamado "ACUERDO del Consejo Nacional del Sistema Nacional de Transparencia, Acceso a la Información Pública y Protección de Datos Personales, por el que se aprueban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 y los acuerdos modificatorios de estos Lineamientos que se hicieron luego durante los años 2017 </w:t>
      </w:r>
      <w:r w:rsidRPr="00FC2430">
        <w:rPr>
          <w:sz w:val="26"/>
          <w:szCs w:val="26"/>
          <w:u w:val="single"/>
        </w:rPr>
        <w:t>y 2020.</w:t>
      </w:r>
    </w:p>
    <w:p w:rsidR="004C3D22" w:rsidRPr="00FC2430" w:rsidRDefault="004C3D22">
      <w:pPr>
        <w:rPr>
          <w:sz w:val="26"/>
          <w:szCs w:val="26"/>
        </w:rPr>
      </w:pPr>
    </w:p>
    <w:p w:rsidR="004C3D22" w:rsidRPr="00FC2430" w:rsidRDefault="00752B3D">
      <w:pPr>
        <w:rPr>
          <w:sz w:val="26"/>
          <w:szCs w:val="26"/>
        </w:rPr>
      </w:pPr>
      <w:r w:rsidRPr="00FC2430">
        <w:rPr>
          <w:sz w:val="26"/>
          <w:szCs w:val="26"/>
        </w:rPr>
        <w:t>Estos Lineamientos establecen las bases para que se cumpla con lo dispuesto en los artículos 31, 60, 61, 64 y 70 (principalmente) de la Ley General de Transparencia y Acceso a la Información.</w:t>
      </w:r>
    </w:p>
    <w:p w:rsidR="004C3D22" w:rsidRPr="00FC2430" w:rsidRDefault="004C3D22">
      <w:pPr>
        <w:rPr>
          <w:sz w:val="26"/>
          <w:szCs w:val="26"/>
        </w:rPr>
      </w:pPr>
    </w:p>
    <w:p w:rsidR="004C3D22" w:rsidRPr="00FC2430" w:rsidRDefault="00752B3D">
      <w:pPr>
        <w:jc w:val="center"/>
        <w:rPr>
          <w:sz w:val="26"/>
          <w:szCs w:val="26"/>
        </w:rPr>
      </w:pPr>
      <w:r w:rsidRPr="00FC2430">
        <w:rPr>
          <w:sz w:val="26"/>
          <w:szCs w:val="26"/>
        </w:rPr>
        <w:t>Planteamiento del Conflicto</w:t>
      </w:r>
    </w:p>
    <w:p w:rsidR="004C3D22" w:rsidRPr="00FC2430" w:rsidRDefault="004C3D22">
      <w:pPr>
        <w:rPr>
          <w:sz w:val="26"/>
          <w:szCs w:val="26"/>
        </w:rPr>
      </w:pPr>
    </w:p>
    <w:p w:rsidR="004C3D22" w:rsidRPr="00FC2430" w:rsidRDefault="00752B3D">
      <w:pPr>
        <w:rPr>
          <w:sz w:val="26"/>
          <w:szCs w:val="26"/>
        </w:rPr>
      </w:pPr>
      <w:r w:rsidRPr="00FC2430">
        <w:rPr>
          <w:sz w:val="26"/>
          <w:szCs w:val="26"/>
        </w:rPr>
        <w:t>En los hechos, muchos sujetos obligados, durante los periodos de actualización por cambio de administración, así como en el caso de diversos organismos y entidades por cambio de titulares; se pasan semanas o meses en un periodo que podemos llamar con plena certeza de opacidad, alegando que están en proceso de actualización y que por tal motivo la información que están obligados a publicar no se encuentra disponible y que los interesados o solicitantes, deben “esperar”. Esta “pausa”, este periodo de opacidad indebida e injustificada, que aprovechan algunos sujetos obligados so pretexto de que están en el periodo de actualización legal, vulnera gravemente el derecho de acceso a la información de los particulares, de las personas morales, y desde luego, de servidores públicos, como son los ediles dentro de los municipios, a quienes la tesorería y la contraloría les niegan información que como regidores y síndicos tienen derecho a conocer.</w:t>
      </w:r>
    </w:p>
    <w:p w:rsidR="004C3D22" w:rsidRPr="00FC2430" w:rsidRDefault="004C3D22">
      <w:pPr>
        <w:rPr>
          <w:sz w:val="26"/>
          <w:szCs w:val="26"/>
        </w:rPr>
      </w:pPr>
    </w:p>
    <w:p w:rsidR="004C3D22" w:rsidRPr="00FC2430" w:rsidRDefault="00752B3D">
      <w:pPr>
        <w:rPr>
          <w:sz w:val="26"/>
          <w:szCs w:val="26"/>
        </w:rPr>
      </w:pPr>
      <w:r w:rsidRPr="00FC2430">
        <w:rPr>
          <w:sz w:val="26"/>
          <w:szCs w:val="26"/>
        </w:rPr>
        <w:t xml:space="preserve"> </w:t>
      </w:r>
    </w:p>
    <w:p w:rsidR="004C3D22" w:rsidRPr="00FC2430" w:rsidRDefault="004C3D22">
      <w:pPr>
        <w:rPr>
          <w:sz w:val="26"/>
          <w:szCs w:val="26"/>
        </w:rPr>
      </w:pPr>
    </w:p>
    <w:p w:rsidR="004C3D22" w:rsidRPr="00FC2430" w:rsidRDefault="00752B3D">
      <w:pPr>
        <w:rPr>
          <w:sz w:val="26"/>
          <w:szCs w:val="26"/>
        </w:rPr>
      </w:pPr>
      <w:r w:rsidRPr="00FC2430">
        <w:rPr>
          <w:sz w:val="26"/>
          <w:szCs w:val="26"/>
        </w:rPr>
        <w:t xml:space="preserve">Estos periodos “muertos”, o periodos de opacidad no tienen razón de ser bajo un argumento simple: una cosa es que la información no esté publicada en la página WEB correspondiente, y otra muy distinta es que la información no exista o no la tenga en su poder el sujeto obligado. </w:t>
      </w:r>
    </w:p>
    <w:p w:rsidR="004C3D22" w:rsidRPr="00FC2430" w:rsidRDefault="004C3D22">
      <w:pPr>
        <w:rPr>
          <w:sz w:val="26"/>
          <w:szCs w:val="26"/>
        </w:rPr>
      </w:pPr>
    </w:p>
    <w:p w:rsidR="004C3D22" w:rsidRPr="00FC2430" w:rsidRDefault="00752B3D">
      <w:pPr>
        <w:rPr>
          <w:sz w:val="26"/>
          <w:szCs w:val="26"/>
        </w:rPr>
      </w:pPr>
      <w:r w:rsidRPr="00FC2430">
        <w:rPr>
          <w:sz w:val="26"/>
          <w:szCs w:val="26"/>
        </w:rPr>
        <w:t>Es claro que la información, toda la información que establecen los artículos 70 de la Ley General, y 21 de la ley local, solo por citar los principales, existe, está en poder del sujeto obligado. Y, si no puede publicarla por cuestiones técnicas, presupuestales o de cualquier otro tipo, deben entonces entregarla a los interesados por vía de solicitudes de información.</w:t>
      </w:r>
    </w:p>
    <w:p w:rsidR="004C3D22" w:rsidRPr="00FC2430" w:rsidRDefault="004C3D22">
      <w:pPr>
        <w:rPr>
          <w:sz w:val="26"/>
          <w:szCs w:val="26"/>
        </w:rPr>
      </w:pPr>
    </w:p>
    <w:p w:rsidR="004C3D22" w:rsidRPr="00FC2430" w:rsidRDefault="00752B3D">
      <w:pPr>
        <w:rPr>
          <w:sz w:val="26"/>
          <w:szCs w:val="26"/>
        </w:rPr>
      </w:pPr>
      <w:r w:rsidRPr="00FC2430">
        <w:rPr>
          <w:sz w:val="26"/>
          <w:szCs w:val="26"/>
        </w:rPr>
        <w:t>Veamos algunos ejemplos:</w:t>
      </w:r>
    </w:p>
    <w:p w:rsidR="004C3D22" w:rsidRPr="00FC2430" w:rsidRDefault="004C3D22">
      <w:pPr>
        <w:rPr>
          <w:sz w:val="26"/>
          <w:szCs w:val="26"/>
        </w:rPr>
      </w:pPr>
    </w:p>
    <w:p w:rsidR="004C3D22" w:rsidRPr="00FC2430" w:rsidRDefault="00752B3D">
      <w:pPr>
        <w:rPr>
          <w:sz w:val="26"/>
          <w:szCs w:val="26"/>
        </w:rPr>
      </w:pPr>
      <w:r w:rsidRPr="00FC2430">
        <w:rPr>
          <w:sz w:val="26"/>
          <w:szCs w:val="26"/>
        </w:rPr>
        <w:t>I.- Si a la fecha presenta hay sujetos obligados que no han publicado la nómina, claro está que tienen una nómina, que pagan salarios y prestaciones, que existe la información en tesorería. Es absurdo que el interesado deba esperar a que esos datos se publiquen en Internet.</w:t>
      </w:r>
    </w:p>
    <w:p w:rsidR="004C3D22" w:rsidRPr="00FC2430" w:rsidRDefault="004C3D22">
      <w:pPr>
        <w:rPr>
          <w:sz w:val="26"/>
          <w:szCs w:val="26"/>
        </w:rPr>
      </w:pPr>
    </w:p>
    <w:p w:rsidR="004C3D22" w:rsidRPr="00FC2430" w:rsidRDefault="00752B3D">
      <w:pPr>
        <w:rPr>
          <w:sz w:val="26"/>
          <w:szCs w:val="26"/>
        </w:rPr>
      </w:pPr>
      <w:r w:rsidRPr="00FC2430">
        <w:rPr>
          <w:sz w:val="26"/>
          <w:szCs w:val="26"/>
        </w:rPr>
        <w:t>II.- Además, deben tener en su poder toda la información que les dejó la anterior administración, los datos de los artículos 21 y 70 de los ordenamientos ya mencionados y, por ende, debe entregarse a quien solicite información de la administración saliente.</w:t>
      </w:r>
    </w:p>
    <w:p w:rsidR="004C3D22" w:rsidRPr="00FC2430" w:rsidRDefault="004C3D22">
      <w:pPr>
        <w:rPr>
          <w:sz w:val="26"/>
          <w:szCs w:val="26"/>
        </w:rPr>
      </w:pPr>
    </w:p>
    <w:p w:rsidR="004C3D22" w:rsidRPr="00FC2430" w:rsidRDefault="00752B3D">
      <w:pPr>
        <w:rPr>
          <w:sz w:val="26"/>
          <w:szCs w:val="26"/>
        </w:rPr>
      </w:pPr>
      <w:r w:rsidRPr="00FC2430">
        <w:rPr>
          <w:sz w:val="26"/>
          <w:szCs w:val="26"/>
        </w:rPr>
        <w:t xml:space="preserve">Los periodos de actualización y los cambios de administración o cambios de titular de los poderes públicos, organismos y demás entidades no deben ser pretexto para incurrir en opacidad. </w:t>
      </w:r>
    </w:p>
    <w:p w:rsidR="004C3D22" w:rsidRPr="00FC2430" w:rsidRDefault="004C3D22">
      <w:pPr>
        <w:rPr>
          <w:sz w:val="26"/>
          <w:szCs w:val="26"/>
        </w:rPr>
      </w:pPr>
    </w:p>
    <w:p w:rsidR="004C3D22" w:rsidRPr="00FC2430" w:rsidRDefault="00752B3D">
      <w:pPr>
        <w:rPr>
          <w:sz w:val="26"/>
          <w:szCs w:val="26"/>
        </w:rPr>
      </w:pPr>
      <w:r w:rsidRPr="00FC2430">
        <w:rPr>
          <w:sz w:val="26"/>
          <w:szCs w:val="26"/>
        </w:rPr>
        <w:t>Por todo lo expuesto, tenemos a bien presentar la presente iniciativa con proyecto de:</w:t>
      </w:r>
    </w:p>
    <w:p w:rsidR="004C3D22" w:rsidRPr="00FC2430" w:rsidRDefault="004C3D22">
      <w:pPr>
        <w:jc w:val="center"/>
        <w:rPr>
          <w:sz w:val="26"/>
          <w:szCs w:val="26"/>
        </w:rPr>
      </w:pPr>
    </w:p>
    <w:p w:rsidR="004C3D22" w:rsidRPr="00FC2430" w:rsidRDefault="004C3D22">
      <w:pPr>
        <w:jc w:val="center"/>
        <w:rPr>
          <w:sz w:val="26"/>
          <w:szCs w:val="26"/>
        </w:rPr>
      </w:pPr>
    </w:p>
    <w:p w:rsidR="004C3D22" w:rsidRPr="00FC2430" w:rsidRDefault="00752B3D">
      <w:pPr>
        <w:jc w:val="center"/>
        <w:rPr>
          <w:sz w:val="26"/>
          <w:szCs w:val="26"/>
        </w:rPr>
      </w:pPr>
      <w:r w:rsidRPr="00FC2430">
        <w:rPr>
          <w:sz w:val="26"/>
          <w:szCs w:val="26"/>
        </w:rPr>
        <w:t>DECRETO</w:t>
      </w:r>
    </w:p>
    <w:p w:rsidR="004C3D22" w:rsidRPr="00FC2430" w:rsidRDefault="004C3D22">
      <w:pPr>
        <w:jc w:val="center"/>
        <w:rPr>
          <w:sz w:val="26"/>
          <w:szCs w:val="26"/>
        </w:rPr>
      </w:pPr>
    </w:p>
    <w:p w:rsidR="004C3D22" w:rsidRPr="00FC2430" w:rsidRDefault="00752B3D">
      <w:pPr>
        <w:rPr>
          <w:sz w:val="26"/>
          <w:szCs w:val="26"/>
        </w:rPr>
      </w:pPr>
      <w:r w:rsidRPr="00FC2430">
        <w:rPr>
          <w:b/>
          <w:sz w:val="26"/>
          <w:szCs w:val="26"/>
        </w:rPr>
        <w:t>ARTÍCULO ÚNICO:</w:t>
      </w:r>
      <w:r w:rsidRPr="00FC2430">
        <w:rPr>
          <w:sz w:val="26"/>
          <w:szCs w:val="26"/>
        </w:rPr>
        <w:t xml:space="preserve"> Se adiciona un segundo párrafo al artículo 23 de la Ley de Acceso a la Información Pública para el Estado de Coahuila de Zaragoza, para quedar como sigue:</w:t>
      </w:r>
    </w:p>
    <w:p w:rsidR="004C3D22" w:rsidRPr="00FC2430" w:rsidRDefault="004C3D22">
      <w:pPr>
        <w:rPr>
          <w:sz w:val="26"/>
          <w:szCs w:val="26"/>
        </w:rPr>
      </w:pPr>
    </w:p>
    <w:p w:rsidR="004C3D22" w:rsidRPr="00FC2430" w:rsidRDefault="00752B3D">
      <w:pPr>
        <w:rPr>
          <w:sz w:val="26"/>
          <w:szCs w:val="26"/>
        </w:rPr>
      </w:pPr>
      <w:r w:rsidRPr="00FC2430">
        <w:rPr>
          <w:sz w:val="26"/>
          <w:szCs w:val="26"/>
        </w:rPr>
        <w:t>Artículo 23….</w:t>
      </w:r>
    </w:p>
    <w:p w:rsidR="004C3D22" w:rsidRPr="00FC2430" w:rsidRDefault="004C3D22">
      <w:pPr>
        <w:rPr>
          <w:sz w:val="26"/>
          <w:szCs w:val="26"/>
        </w:rPr>
      </w:pPr>
    </w:p>
    <w:p w:rsidR="004C3D22" w:rsidRPr="00FC2430" w:rsidRDefault="00752B3D">
      <w:pPr>
        <w:rPr>
          <w:b/>
          <w:sz w:val="26"/>
          <w:szCs w:val="26"/>
        </w:rPr>
      </w:pPr>
      <w:r w:rsidRPr="00FC2430">
        <w:rPr>
          <w:b/>
          <w:sz w:val="26"/>
          <w:szCs w:val="26"/>
        </w:rPr>
        <w:t>Durante los cambios de administración o renovación de titulares de los poderes públicos, organismos y demás autoridades reconocidas como sujetos obligados de acuerdo a la presente ley, la Información Pública de  Oficio deberá entregarse a quien la solicite, observando los requisitos para las solicitudes de información; esto incluye la información correspondiente a la administración o titular saliente, con independencia de que se encuentren en periodo de actualización en los términos de la Ley General de Transparencia y Acceso a la Información.</w:t>
      </w:r>
    </w:p>
    <w:p w:rsidR="004C3D22" w:rsidRPr="00FC2430" w:rsidRDefault="004C3D22">
      <w:pPr>
        <w:rPr>
          <w:b/>
          <w:sz w:val="26"/>
          <w:szCs w:val="26"/>
        </w:rPr>
      </w:pPr>
    </w:p>
    <w:p w:rsidR="004C3D22" w:rsidRPr="00FC2430" w:rsidRDefault="00752B3D">
      <w:pPr>
        <w:rPr>
          <w:sz w:val="26"/>
          <w:szCs w:val="26"/>
        </w:rPr>
      </w:pPr>
      <w:r w:rsidRPr="00FC2430">
        <w:rPr>
          <w:sz w:val="26"/>
          <w:szCs w:val="26"/>
        </w:rPr>
        <w:t>……</w:t>
      </w:r>
    </w:p>
    <w:p w:rsidR="004C3D22" w:rsidRPr="00FC2430" w:rsidRDefault="004C3D22">
      <w:pPr>
        <w:rPr>
          <w:sz w:val="26"/>
          <w:szCs w:val="26"/>
        </w:rPr>
      </w:pPr>
    </w:p>
    <w:p w:rsidR="004C3D22" w:rsidRPr="00FC2430" w:rsidRDefault="00752B3D">
      <w:pPr>
        <w:jc w:val="center"/>
        <w:rPr>
          <w:sz w:val="26"/>
          <w:szCs w:val="26"/>
        </w:rPr>
      </w:pPr>
      <w:r w:rsidRPr="00FC2430">
        <w:rPr>
          <w:sz w:val="26"/>
          <w:szCs w:val="26"/>
        </w:rPr>
        <w:t>TRANSITORIOS</w:t>
      </w:r>
    </w:p>
    <w:p w:rsidR="004C3D22" w:rsidRPr="00FC2430" w:rsidRDefault="004C3D22">
      <w:pPr>
        <w:rPr>
          <w:sz w:val="26"/>
          <w:szCs w:val="26"/>
        </w:rPr>
      </w:pPr>
    </w:p>
    <w:p w:rsidR="004C3D22" w:rsidRPr="00FC2430" w:rsidRDefault="00752B3D">
      <w:pPr>
        <w:rPr>
          <w:sz w:val="26"/>
          <w:szCs w:val="26"/>
        </w:rPr>
      </w:pPr>
      <w:r w:rsidRPr="00FC2430">
        <w:rPr>
          <w:sz w:val="26"/>
          <w:szCs w:val="26"/>
        </w:rPr>
        <w:t>Único. -  El presente Decreto entrará en vigor al día siguiente de su publicación en el Periódico Oficial del Estado.</w:t>
      </w:r>
    </w:p>
    <w:p w:rsidR="004C3D22" w:rsidRPr="00FC2430" w:rsidRDefault="004C3D22">
      <w:pPr>
        <w:jc w:val="center"/>
        <w:rPr>
          <w:sz w:val="26"/>
          <w:szCs w:val="26"/>
        </w:rPr>
      </w:pPr>
    </w:p>
    <w:p w:rsidR="004C3D22" w:rsidRPr="00FC2430" w:rsidRDefault="004C3D22">
      <w:pPr>
        <w:rPr>
          <w:sz w:val="26"/>
          <w:szCs w:val="26"/>
        </w:rPr>
      </w:pPr>
    </w:p>
    <w:p w:rsidR="004C3D22" w:rsidRPr="00FC2430" w:rsidRDefault="00752B3D">
      <w:pPr>
        <w:jc w:val="center"/>
        <w:rPr>
          <w:sz w:val="26"/>
          <w:szCs w:val="26"/>
        </w:rPr>
      </w:pPr>
      <w:r w:rsidRPr="00FC2430">
        <w:rPr>
          <w:sz w:val="26"/>
          <w:szCs w:val="26"/>
        </w:rPr>
        <w:t>Saltillo, Coahuila, a 26 de octubre de 2021.</w:t>
      </w:r>
    </w:p>
    <w:p w:rsidR="004C3D22" w:rsidRPr="00FC2430" w:rsidRDefault="004C3D22">
      <w:pPr>
        <w:jc w:val="center"/>
        <w:rPr>
          <w:sz w:val="26"/>
          <w:szCs w:val="26"/>
        </w:rPr>
      </w:pPr>
    </w:p>
    <w:p w:rsidR="004C3D22" w:rsidRPr="00FC2430" w:rsidRDefault="004C3D22">
      <w:pPr>
        <w:jc w:val="center"/>
        <w:rPr>
          <w:sz w:val="26"/>
          <w:szCs w:val="26"/>
        </w:rPr>
      </w:pPr>
    </w:p>
    <w:p w:rsidR="004C3D22" w:rsidRPr="00FC2430" w:rsidRDefault="00752B3D">
      <w:pPr>
        <w:jc w:val="center"/>
        <w:rPr>
          <w:b/>
          <w:sz w:val="26"/>
          <w:szCs w:val="26"/>
        </w:rPr>
      </w:pPr>
      <w:r w:rsidRPr="00FC2430">
        <w:rPr>
          <w:b/>
          <w:sz w:val="26"/>
          <w:szCs w:val="26"/>
        </w:rPr>
        <w:t>ATENTAMENTE</w:t>
      </w:r>
    </w:p>
    <w:p w:rsidR="004C3D22" w:rsidRPr="00FC2430" w:rsidRDefault="004C3D22">
      <w:pPr>
        <w:jc w:val="center"/>
        <w:rPr>
          <w:b/>
          <w:sz w:val="26"/>
          <w:szCs w:val="26"/>
        </w:rPr>
      </w:pPr>
    </w:p>
    <w:p w:rsidR="004C3D22" w:rsidRPr="00FC2430" w:rsidRDefault="00752B3D">
      <w:pPr>
        <w:jc w:val="center"/>
        <w:rPr>
          <w:i/>
          <w:sz w:val="26"/>
          <w:szCs w:val="26"/>
        </w:rPr>
      </w:pPr>
      <w:r w:rsidRPr="00FC2430">
        <w:rPr>
          <w:i/>
          <w:sz w:val="26"/>
          <w:szCs w:val="26"/>
        </w:rPr>
        <w:t>“POR UNA PATRIA ORDENADA Y GENEROSA</w:t>
      </w:r>
    </w:p>
    <w:p w:rsidR="004C3D22" w:rsidRPr="00FC2430" w:rsidRDefault="00752B3D">
      <w:pPr>
        <w:jc w:val="center"/>
        <w:rPr>
          <w:i/>
          <w:sz w:val="26"/>
          <w:szCs w:val="26"/>
        </w:rPr>
      </w:pPr>
      <w:r w:rsidRPr="00FC2430">
        <w:rPr>
          <w:i/>
          <w:sz w:val="26"/>
          <w:szCs w:val="26"/>
        </w:rPr>
        <w:lastRenderedPageBreak/>
        <w:t xml:space="preserve"> Y UNA VIDA MEJOR Y MÁS DIGNA PARA TODOS”</w:t>
      </w:r>
    </w:p>
    <w:p w:rsidR="004C3D22" w:rsidRPr="00FC2430" w:rsidRDefault="004C3D22">
      <w:pPr>
        <w:jc w:val="center"/>
        <w:rPr>
          <w:sz w:val="26"/>
          <w:szCs w:val="26"/>
        </w:rPr>
      </w:pPr>
    </w:p>
    <w:p w:rsidR="004C3D22" w:rsidRPr="00FC2430" w:rsidRDefault="00752B3D">
      <w:pPr>
        <w:jc w:val="center"/>
        <w:rPr>
          <w:b/>
          <w:sz w:val="26"/>
          <w:szCs w:val="26"/>
        </w:rPr>
      </w:pPr>
      <w:r w:rsidRPr="00FC2430">
        <w:rPr>
          <w:b/>
          <w:sz w:val="26"/>
          <w:szCs w:val="26"/>
        </w:rPr>
        <w:t>GRUPO PARLAMENTARIO DEL PARTIDO ACCIÓN NACIONAL “CARLOS ALBERTO PÁEZ FALCÓN”</w:t>
      </w:r>
    </w:p>
    <w:p w:rsidR="004C3D22" w:rsidRPr="00FC2430" w:rsidRDefault="004C3D22">
      <w:pPr>
        <w:jc w:val="center"/>
        <w:rPr>
          <w:b/>
          <w:sz w:val="26"/>
          <w:szCs w:val="26"/>
        </w:rPr>
      </w:pPr>
    </w:p>
    <w:p w:rsidR="004C3D22" w:rsidRDefault="004C3D22">
      <w:pPr>
        <w:jc w:val="center"/>
        <w:rPr>
          <w:b/>
          <w:sz w:val="26"/>
          <w:szCs w:val="26"/>
        </w:rPr>
      </w:pPr>
    </w:p>
    <w:p w:rsidR="00FC2430" w:rsidRDefault="00FC2430">
      <w:pPr>
        <w:jc w:val="center"/>
        <w:rPr>
          <w:b/>
          <w:sz w:val="26"/>
          <w:szCs w:val="26"/>
        </w:rPr>
      </w:pPr>
    </w:p>
    <w:p w:rsidR="00FC2430" w:rsidRPr="00FC2430" w:rsidRDefault="00FC2430">
      <w:pPr>
        <w:jc w:val="center"/>
        <w:rPr>
          <w:b/>
          <w:sz w:val="26"/>
          <w:szCs w:val="26"/>
        </w:rPr>
      </w:pPr>
    </w:p>
    <w:p w:rsidR="004C3D22" w:rsidRPr="00FC2430" w:rsidRDefault="00752B3D">
      <w:pPr>
        <w:jc w:val="center"/>
        <w:rPr>
          <w:b/>
          <w:sz w:val="26"/>
          <w:szCs w:val="26"/>
        </w:rPr>
      </w:pPr>
      <w:r w:rsidRPr="00FC2430">
        <w:rPr>
          <w:sz w:val="26"/>
          <w:szCs w:val="26"/>
        </w:rPr>
        <w:t>DIP. RODOLFO GERARDO WALS AURIOLES</w:t>
      </w:r>
    </w:p>
    <w:p w:rsidR="004C3D22" w:rsidRDefault="004C3D22">
      <w:pPr>
        <w:pBdr>
          <w:top w:val="nil"/>
          <w:left w:val="nil"/>
          <w:bottom w:val="nil"/>
          <w:right w:val="nil"/>
          <w:between w:val="nil"/>
        </w:pBdr>
        <w:spacing w:after="160" w:line="360" w:lineRule="auto"/>
        <w:jc w:val="center"/>
        <w:rPr>
          <w:color w:val="000000"/>
          <w:sz w:val="26"/>
          <w:szCs w:val="26"/>
        </w:rPr>
      </w:pPr>
    </w:p>
    <w:p w:rsidR="00FC2430" w:rsidRPr="00FC2430" w:rsidRDefault="00FC2430">
      <w:pPr>
        <w:pBdr>
          <w:top w:val="nil"/>
          <w:left w:val="nil"/>
          <w:bottom w:val="nil"/>
          <w:right w:val="nil"/>
          <w:between w:val="nil"/>
        </w:pBdr>
        <w:spacing w:after="160" w:line="360" w:lineRule="auto"/>
        <w:jc w:val="center"/>
        <w:rPr>
          <w:color w:val="000000"/>
          <w:sz w:val="26"/>
          <w:szCs w:val="26"/>
        </w:rPr>
      </w:pPr>
    </w:p>
    <w:p w:rsidR="004C3D22" w:rsidRPr="00FC2430" w:rsidRDefault="004C3D22">
      <w:pPr>
        <w:pBdr>
          <w:top w:val="nil"/>
          <w:left w:val="nil"/>
          <w:bottom w:val="nil"/>
          <w:right w:val="nil"/>
          <w:between w:val="nil"/>
        </w:pBdr>
        <w:spacing w:after="160" w:line="360" w:lineRule="auto"/>
        <w:jc w:val="center"/>
        <w:rPr>
          <w:color w:val="000000"/>
          <w:sz w:val="26"/>
          <w:szCs w:val="26"/>
        </w:rPr>
      </w:pPr>
    </w:p>
    <w:tbl>
      <w:tblPr>
        <w:tblStyle w:val="a"/>
        <w:tblW w:w="10098" w:type="dxa"/>
        <w:tblInd w:w="-459" w:type="dxa"/>
        <w:tblLayout w:type="fixed"/>
        <w:tblLook w:val="0400" w:firstRow="0" w:lastRow="0" w:firstColumn="0" w:lastColumn="0" w:noHBand="0" w:noVBand="1"/>
      </w:tblPr>
      <w:tblGrid>
        <w:gridCol w:w="4995"/>
        <w:gridCol w:w="5103"/>
      </w:tblGrid>
      <w:tr w:rsidR="004C3D22" w:rsidRPr="00FC2430" w:rsidTr="00FC2430">
        <w:trPr>
          <w:trHeight w:val="1403"/>
        </w:trPr>
        <w:tc>
          <w:tcPr>
            <w:tcW w:w="4995" w:type="dxa"/>
            <w:shd w:val="clear" w:color="auto" w:fill="auto"/>
          </w:tcPr>
          <w:p w:rsidR="004C3D22" w:rsidRPr="00FC2430" w:rsidRDefault="00752B3D">
            <w:pPr>
              <w:tabs>
                <w:tab w:val="left" w:pos="885"/>
                <w:tab w:val="center" w:pos="4987"/>
                <w:tab w:val="left" w:pos="5056"/>
              </w:tabs>
              <w:spacing w:line="360" w:lineRule="auto"/>
              <w:rPr>
                <w:sz w:val="26"/>
                <w:szCs w:val="26"/>
              </w:rPr>
            </w:pPr>
            <w:r w:rsidRPr="00FC2430">
              <w:rPr>
                <w:sz w:val="26"/>
                <w:szCs w:val="26"/>
              </w:rPr>
              <w:tab/>
            </w:r>
          </w:p>
          <w:p w:rsidR="004C3D22" w:rsidRPr="00FC2430" w:rsidRDefault="00FC2430" w:rsidP="00FC2430">
            <w:pPr>
              <w:tabs>
                <w:tab w:val="left" w:pos="885"/>
                <w:tab w:val="center" w:pos="4987"/>
                <w:tab w:val="left" w:pos="5056"/>
              </w:tabs>
              <w:spacing w:line="360" w:lineRule="auto"/>
              <w:jc w:val="center"/>
              <w:rPr>
                <w:sz w:val="26"/>
                <w:szCs w:val="26"/>
              </w:rPr>
            </w:pPr>
            <w:r w:rsidRPr="00FC2430">
              <w:rPr>
                <w:color w:val="000000"/>
                <w:sz w:val="26"/>
                <w:szCs w:val="26"/>
              </w:rPr>
              <w:t>DIP. MAYRA LUCILA VALDÉS GONZÁLEZ</w:t>
            </w:r>
          </w:p>
          <w:p w:rsidR="004C3D22" w:rsidRPr="00FC2430" w:rsidRDefault="004C3D22">
            <w:pPr>
              <w:tabs>
                <w:tab w:val="left" w:pos="885"/>
                <w:tab w:val="center" w:pos="4987"/>
                <w:tab w:val="left" w:pos="5056"/>
              </w:tabs>
              <w:spacing w:line="360" w:lineRule="auto"/>
              <w:rPr>
                <w:sz w:val="26"/>
                <w:szCs w:val="26"/>
              </w:rPr>
            </w:pPr>
          </w:p>
          <w:p w:rsidR="004C3D22" w:rsidRPr="00FC2430" w:rsidRDefault="004C3D22">
            <w:pPr>
              <w:tabs>
                <w:tab w:val="left" w:pos="885"/>
                <w:tab w:val="center" w:pos="4987"/>
                <w:tab w:val="left" w:pos="5056"/>
              </w:tabs>
              <w:spacing w:line="360" w:lineRule="auto"/>
              <w:rPr>
                <w:sz w:val="26"/>
                <w:szCs w:val="26"/>
              </w:rPr>
            </w:pPr>
          </w:p>
          <w:p w:rsidR="004C3D22" w:rsidRPr="00FC2430" w:rsidRDefault="004C3D22">
            <w:pPr>
              <w:tabs>
                <w:tab w:val="left" w:pos="885"/>
                <w:tab w:val="center" w:pos="4987"/>
                <w:tab w:val="left" w:pos="5056"/>
              </w:tabs>
              <w:spacing w:line="360" w:lineRule="auto"/>
              <w:jc w:val="center"/>
              <w:rPr>
                <w:sz w:val="26"/>
                <w:szCs w:val="26"/>
              </w:rPr>
            </w:pPr>
          </w:p>
        </w:tc>
        <w:tc>
          <w:tcPr>
            <w:tcW w:w="5103" w:type="dxa"/>
            <w:shd w:val="clear" w:color="auto" w:fill="auto"/>
          </w:tcPr>
          <w:p w:rsidR="004C3D22" w:rsidRPr="00FC2430" w:rsidRDefault="004C3D22">
            <w:pPr>
              <w:tabs>
                <w:tab w:val="left" w:pos="885"/>
                <w:tab w:val="center" w:pos="4987"/>
                <w:tab w:val="left" w:pos="5056"/>
              </w:tabs>
              <w:spacing w:line="360" w:lineRule="auto"/>
              <w:rPr>
                <w:sz w:val="26"/>
                <w:szCs w:val="26"/>
              </w:rPr>
            </w:pPr>
            <w:bookmarkStart w:id="2" w:name="_GoBack"/>
            <w:bookmarkEnd w:id="2"/>
          </w:p>
          <w:p w:rsidR="004C3D22" w:rsidRPr="00FC2430" w:rsidRDefault="00752B3D">
            <w:pPr>
              <w:tabs>
                <w:tab w:val="left" w:pos="885"/>
                <w:tab w:val="center" w:pos="4987"/>
                <w:tab w:val="left" w:pos="5056"/>
              </w:tabs>
              <w:spacing w:line="360" w:lineRule="auto"/>
              <w:jc w:val="center"/>
              <w:rPr>
                <w:sz w:val="26"/>
                <w:szCs w:val="26"/>
              </w:rPr>
            </w:pPr>
            <w:r w:rsidRPr="00FC2430">
              <w:rPr>
                <w:sz w:val="26"/>
                <w:szCs w:val="26"/>
              </w:rPr>
              <w:t>DIP. LUZ NATALIA VIRGIL ORONA</w:t>
            </w:r>
          </w:p>
        </w:tc>
      </w:tr>
    </w:tbl>
    <w:p w:rsidR="004C3D22" w:rsidRPr="00FC2430" w:rsidRDefault="004C3D22">
      <w:pPr>
        <w:jc w:val="left"/>
        <w:rPr>
          <w:sz w:val="26"/>
          <w:szCs w:val="26"/>
        </w:rPr>
      </w:pPr>
    </w:p>
    <w:sectPr w:rsidR="004C3D22" w:rsidRPr="00FC2430" w:rsidSect="007A447A">
      <w:headerReference w:type="default" r:id="rId7"/>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95" w:rsidRDefault="002B0A95">
      <w:r>
        <w:separator/>
      </w:r>
    </w:p>
  </w:endnote>
  <w:endnote w:type="continuationSeparator" w:id="0">
    <w:p w:rsidR="002B0A95" w:rsidRDefault="002B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95" w:rsidRDefault="002B0A95">
      <w:r>
        <w:separator/>
      </w:r>
    </w:p>
  </w:footnote>
  <w:footnote w:type="continuationSeparator" w:id="0">
    <w:p w:rsidR="002B0A95" w:rsidRDefault="002B0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22" w:rsidRDefault="007A447A">
    <w:pPr>
      <w:pBdr>
        <w:top w:val="nil"/>
        <w:left w:val="nil"/>
        <w:bottom w:val="nil"/>
        <w:right w:val="nil"/>
        <w:between w:val="nil"/>
      </w:pBdr>
      <w:tabs>
        <w:tab w:val="center" w:pos="4419"/>
        <w:tab w:val="right" w:pos="8838"/>
        <w:tab w:val="left" w:pos="5040"/>
      </w:tabs>
      <w:jc w:val="center"/>
      <w:rPr>
        <w:rFonts w:ascii="Times New Roman" w:eastAsia="Times New Roman" w:hAnsi="Times New Roman" w:cs="Times New Roman"/>
        <w:smallCaps/>
        <w:color w:val="000000"/>
        <w:sz w:val="32"/>
        <w:szCs w:val="32"/>
      </w:rPr>
    </w:pPr>
    <w:r>
      <w:rPr>
        <w:noProof/>
      </w:rPr>
      <w:drawing>
        <wp:anchor distT="0" distB="0" distL="114300" distR="114300" simplePos="0" relativeHeight="251658240" behindDoc="0" locked="0" layoutInCell="1" hidden="0" allowOverlap="1" wp14:anchorId="21548FAD" wp14:editId="4418B32B">
          <wp:simplePos x="0" y="0"/>
          <wp:positionH relativeFrom="column">
            <wp:posOffset>-211910</wp:posOffset>
          </wp:positionH>
          <wp:positionV relativeFrom="paragraph">
            <wp:posOffset>-129360</wp:posOffset>
          </wp:positionV>
          <wp:extent cx="789305" cy="831215"/>
          <wp:effectExtent l="0" t="0" r="0" b="0"/>
          <wp:wrapNone/>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789305" cy="831215"/>
                  </a:xfrm>
                  <a:prstGeom prst="rect">
                    <a:avLst/>
                  </a:prstGeom>
                  <a:ln/>
                </pic:spPr>
              </pic:pic>
            </a:graphicData>
          </a:graphic>
        </wp:anchor>
      </w:drawing>
    </w:r>
    <w:r w:rsidR="00752B3D">
      <w:rPr>
        <w:rFonts w:ascii="Times New Roman" w:eastAsia="Times New Roman" w:hAnsi="Times New Roman" w:cs="Times New Roman"/>
        <w:smallCaps/>
        <w:color w:val="000000"/>
        <w:sz w:val="32"/>
        <w:szCs w:val="32"/>
      </w:rPr>
      <w:t>Congreso del Estado Independiente,</w:t>
    </w:r>
  </w:p>
  <w:p w:rsidR="004C3D22" w:rsidRDefault="00752B3D">
    <w:pPr>
      <w:pBdr>
        <w:top w:val="nil"/>
        <w:left w:val="nil"/>
        <w:bottom w:val="nil"/>
        <w:right w:val="nil"/>
        <w:between w:val="nil"/>
      </w:pBdr>
      <w:tabs>
        <w:tab w:val="center" w:pos="4419"/>
        <w:tab w:val="right" w:pos="8838"/>
        <w:tab w:val="left" w:pos="5040"/>
      </w:tabs>
      <w:ind w:right="-93"/>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Libre y Soberano de Coahuila de Zaragoza </w:t>
    </w:r>
  </w:p>
  <w:p w:rsidR="004C3D22" w:rsidRDefault="004C3D22">
    <w:pPr>
      <w:pBdr>
        <w:top w:val="nil"/>
        <w:left w:val="nil"/>
        <w:bottom w:val="nil"/>
        <w:right w:val="nil"/>
        <w:between w:val="nil"/>
      </w:pBdr>
      <w:tabs>
        <w:tab w:val="center" w:pos="4419"/>
        <w:tab w:val="right" w:pos="8838"/>
      </w:tabs>
      <w:ind w:right="49"/>
      <w:jc w:val="center"/>
      <w:rPr>
        <w:rFonts w:ascii="Calibri" w:eastAsia="Calibri" w:hAnsi="Calibri" w:cs="Calibri"/>
        <w:color w:val="000000"/>
        <w:sz w:val="22"/>
        <w:szCs w:val="22"/>
      </w:rPr>
    </w:pPr>
  </w:p>
  <w:p w:rsidR="004C3D22" w:rsidRDefault="004C3D22">
    <w:pPr>
      <w:pBdr>
        <w:top w:val="nil"/>
        <w:left w:val="nil"/>
        <w:bottom w:val="nil"/>
        <w:right w:val="nil"/>
        <w:between w:val="nil"/>
      </w:pBdr>
      <w:tabs>
        <w:tab w:val="center" w:pos="4419"/>
        <w:tab w:val="right" w:pos="8838"/>
      </w:tabs>
      <w:ind w:right="49"/>
      <w:jc w:val="center"/>
      <w:rPr>
        <w:rFonts w:ascii="Times New Roman" w:eastAsia="Times New Roman" w:hAnsi="Times New Roman" w:cs="Times New Roman"/>
        <w:color w:val="000000"/>
        <w:sz w:val="18"/>
        <w:szCs w:val="18"/>
      </w:rPr>
    </w:pPr>
  </w:p>
  <w:p w:rsidR="004C3D22" w:rsidRDefault="004C3D22">
    <w:pPr>
      <w:pBdr>
        <w:top w:val="nil"/>
        <w:left w:val="nil"/>
        <w:bottom w:val="nil"/>
        <w:right w:val="nil"/>
        <w:between w:val="nil"/>
      </w:pBdr>
      <w:tabs>
        <w:tab w:val="center" w:pos="4419"/>
        <w:tab w:val="right" w:pos="8838"/>
      </w:tabs>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22"/>
    <w:rsid w:val="00112E9A"/>
    <w:rsid w:val="002B0A95"/>
    <w:rsid w:val="003A42A5"/>
    <w:rsid w:val="004C3D22"/>
    <w:rsid w:val="00752B3D"/>
    <w:rsid w:val="007A447A"/>
    <w:rsid w:val="007B33A3"/>
    <w:rsid w:val="008013FC"/>
    <w:rsid w:val="00905B5A"/>
    <w:rsid w:val="00F71D9C"/>
    <w:rsid w:val="00FC24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1A67"/>
  <w15:docId w15:val="{E35ED171-36C6-4FF7-9E09-E6775327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spacing w:line="360" w:lineRule="auto"/>
      <w:outlineLvl w:val="4"/>
    </w:pPr>
    <w:rPr>
      <w:b/>
      <w:sz w:val="36"/>
      <w:szCs w:val="36"/>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A447A"/>
    <w:pPr>
      <w:tabs>
        <w:tab w:val="center" w:pos="4419"/>
        <w:tab w:val="right" w:pos="8838"/>
      </w:tabs>
    </w:pPr>
  </w:style>
  <w:style w:type="character" w:customStyle="1" w:styleId="EncabezadoCar">
    <w:name w:val="Encabezado Car"/>
    <w:basedOn w:val="Fuentedeprrafopredeter"/>
    <w:link w:val="Encabezado"/>
    <w:uiPriority w:val="99"/>
    <w:rsid w:val="007A447A"/>
  </w:style>
  <w:style w:type="paragraph" w:styleId="Piedepgina">
    <w:name w:val="footer"/>
    <w:basedOn w:val="Normal"/>
    <w:link w:val="PiedepginaCar"/>
    <w:uiPriority w:val="99"/>
    <w:unhideWhenUsed/>
    <w:rsid w:val="007A447A"/>
    <w:pPr>
      <w:tabs>
        <w:tab w:val="center" w:pos="4419"/>
        <w:tab w:val="right" w:pos="8838"/>
      </w:tabs>
    </w:pPr>
  </w:style>
  <w:style w:type="character" w:customStyle="1" w:styleId="PiedepginaCar">
    <w:name w:val="Pie de página Car"/>
    <w:basedOn w:val="Fuentedeprrafopredeter"/>
    <w:link w:val="Piedepgina"/>
    <w:uiPriority w:val="99"/>
    <w:rsid w:val="007A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3</cp:revision>
  <dcterms:created xsi:type="dcterms:W3CDTF">2021-10-26T18:23:00Z</dcterms:created>
  <dcterms:modified xsi:type="dcterms:W3CDTF">2021-10-26T18:24:00Z</dcterms:modified>
</cp:coreProperties>
</file>