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43" w:rsidRDefault="00AE5843" w:rsidP="00AE5843">
      <w:pP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AE5843" w:rsidRPr="00AE5843" w:rsidRDefault="00AE5843" w:rsidP="00AE5843">
      <w:pP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AE5843" w:rsidRPr="00AE5843" w:rsidRDefault="00AE5843" w:rsidP="00AE5843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AE5843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Iniciativa con Proyecto de Decreto, por el que se modifica el Artículo 10, la Fracción IV del artículo 18, la Fracción III del artículo 19 así como el artículo 21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d</w:t>
      </w:r>
      <w:r w:rsidRPr="00AE5843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e la </w:t>
      </w:r>
      <w:r w:rsidRPr="00AE5843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Ley para la Protección de las Personas Defensoras de Derechos Humanos para el Estado de Coahuila de Zaragoza</w:t>
      </w:r>
    </w:p>
    <w:p w:rsidR="00AE5843" w:rsidRDefault="00AE5843" w:rsidP="00AE5843">
      <w:pP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AE5843" w:rsidRPr="00AE5843" w:rsidRDefault="00AE5843" w:rsidP="00AE5843">
      <w:pPr>
        <w:numPr>
          <w:ilvl w:val="0"/>
          <w:numId w:val="1"/>
        </w:numPr>
        <w:contextualSpacing/>
        <w:jc w:val="left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AE5843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En relación a la cantidad de integrantes del Comité, así como las medidas de prevención y protección.</w:t>
      </w:r>
    </w:p>
    <w:p w:rsidR="00AE5843" w:rsidRPr="00AE5843" w:rsidRDefault="00AE5843" w:rsidP="00AE5843">
      <w:pP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AE5843" w:rsidRPr="00AE5843" w:rsidRDefault="00AE5843" w:rsidP="00AE5843">
      <w:pP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  <w:r w:rsidRPr="00AE5843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Planteada por la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 </w:t>
      </w:r>
      <w:r w:rsidRPr="00AE5843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Diputada Teresa de Jesús </w:t>
      </w:r>
      <w:proofErr w:type="spellStart"/>
      <w:r w:rsidRPr="00AE5843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Meraz</w:t>
      </w:r>
      <w:proofErr w:type="spellEnd"/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</w:t>
      </w:r>
      <w:r w:rsidRPr="00AE5843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García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, </w:t>
      </w:r>
      <w:r w:rsidRPr="00AE5843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del Grupo Parlamentario, "Movimiento Regeneración Nacional” del Partido Morena.</w:t>
      </w:r>
    </w:p>
    <w:p w:rsidR="00AE5843" w:rsidRPr="00AE5843" w:rsidRDefault="00AE5843" w:rsidP="00AE5843">
      <w:pP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AE5843" w:rsidRPr="00AE5843" w:rsidRDefault="00AE5843" w:rsidP="00AE5843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AE5843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Fecha de Lectura de la Iniciativa: </w:t>
      </w:r>
      <w:r w:rsidRPr="00AE5843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26 de </w:t>
      </w:r>
      <w:proofErr w:type="gramStart"/>
      <w:r w:rsidRPr="00AE5843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Octubre</w:t>
      </w:r>
      <w:proofErr w:type="gramEnd"/>
      <w:r w:rsidRPr="00AE5843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de 2021.</w:t>
      </w:r>
    </w:p>
    <w:p w:rsidR="00AE5843" w:rsidRPr="00AE5843" w:rsidRDefault="00AE5843" w:rsidP="00AE5843">
      <w:pPr>
        <w:rPr>
          <w:rFonts w:ascii="Arial Narrow" w:eastAsia="Times New Roman" w:hAnsi="Arial Narrow"/>
          <w:sz w:val="26"/>
          <w:szCs w:val="26"/>
          <w:lang w:eastAsia="es-ES"/>
        </w:rPr>
      </w:pPr>
    </w:p>
    <w:p w:rsidR="00AE5843" w:rsidRDefault="00AE5843" w:rsidP="00AE5843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AE5843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Turnada a la</w:t>
      </w:r>
      <w:r w:rsidRPr="00AE5843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Comisión de la Defensa de los Derechos Humanos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.</w:t>
      </w:r>
    </w:p>
    <w:p w:rsidR="00AE5843" w:rsidRPr="00AE5843" w:rsidRDefault="00AE5843" w:rsidP="00AE5843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:rsidR="00AE5843" w:rsidRPr="00AE5843" w:rsidRDefault="00AE5843" w:rsidP="00AE5843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AE5843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Fecha de lectura del Dictamen: </w:t>
      </w:r>
    </w:p>
    <w:p w:rsidR="00AE5843" w:rsidRPr="00AE5843" w:rsidRDefault="00AE5843" w:rsidP="00AE5843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:rsidR="00AE5843" w:rsidRPr="00AE5843" w:rsidRDefault="00AE5843" w:rsidP="00AE5843">
      <w:pPr>
        <w:ind w:left="1418" w:hanging="1418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AE5843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Decreto No. </w:t>
      </w:r>
    </w:p>
    <w:p w:rsidR="00AE5843" w:rsidRPr="00AE5843" w:rsidRDefault="00AE5843" w:rsidP="00AE5843">
      <w:pPr>
        <w:ind w:left="1418" w:hanging="1418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:rsidR="00AE5843" w:rsidRPr="00AE5843" w:rsidRDefault="00AE5843" w:rsidP="00AE5843">
      <w:pP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  <w:r w:rsidRPr="00AE5843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Publicación en el Periódico Oficial del Gobierno del Estado: </w:t>
      </w:r>
    </w:p>
    <w:p w:rsidR="00AE5843" w:rsidRPr="00AE5843" w:rsidRDefault="00AE5843" w:rsidP="00AE5843">
      <w:pP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AE5843" w:rsidRDefault="00AE5843">
      <w:pPr>
        <w:pStyle w:val="Normal1"/>
        <w:rPr>
          <w:b/>
          <w:sz w:val="28"/>
          <w:szCs w:val="28"/>
        </w:rPr>
      </w:pPr>
    </w:p>
    <w:p w:rsidR="00AE5843" w:rsidRDefault="00AE584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91AA4" w:rsidRDefault="001E72E9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H. Pleno del Congreso del Estado</w:t>
      </w:r>
    </w:p>
    <w:p w:rsidR="00291AA4" w:rsidRDefault="001E72E9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t>de Coahuila de Zaragoza.</w:t>
      </w:r>
    </w:p>
    <w:p w:rsidR="00291AA4" w:rsidRDefault="001E72E9">
      <w:pPr>
        <w:pStyle w:val="Normal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Presente.-</w:t>
      </w:r>
      <w:proofErr w:type="gramEnd"/>
    </w:p>
    <w:p w:rsidR="00291AA4" w:rsidRDefault="00291AA4">
      <w:pPr>
        <w:pStyle w:val="Normal1"/>
        <w:rPr>
          <w:sz w:val="23"/>
          <w:szCs w:val="23"/>
        </w:rPr>
      </w:pPr>
    </w:p>
    <w:p w:rsidR="00291AA4" w:rsidRDefault="001E72E9">
      <w:pPr>
        <w:pStyle w:val="Normal1"/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La suscrita Diputada Teresa de Jesús </w:t>
      </w:r>
      <w:proofErr w:type="spellStart"/>
      <w:r>
        <w:rPr>
          <w:sz w:val="28"/>
          <w:szCs w:val="28"/>
        </w:rPr>
        <w:t>Meraz</w:t>
      </w:r>
      <w:proofErr w:type="spellEnd"/>
      <w:r>
        <w:rPr>
          <w:sz w:val="28"/>
          <w:szCs w:val="28"/>
        </w:rPr>
        <w:t xml:space="preserve"> García conjuntamente con las Diputadas y él Diputado del Grupo Parlamentario del morena de la LXII Legislatura del Honorable Congreso del Estado Independiente, Libre y Soberano de Coahuila de Zaragoza, con fundamento en el artículo 59 fracción I y 60 de la Constitución Política del Estado de Coahuila de Zaragoza, además de los artículos21 fracción IV, 152 fracción I, I63, 167 y demás relativos de la Ley Orgánica del Congreso del Estado Independiente, Libre y Soberano de Coahuila de Zaragoza, ponemos a consideración de ustedes, compañeras y compañeros legisladores, </w:t>
      </w:r>
      <w:r>
        <w:rPr>
          <w:color w:val="000000"/>
          <w:sz w:val="28"/>
          <w:szCs w:val="28"/>
        </w:rPr>
        <w:t xml:space="preserve">la presente iniciativa con proyecto de decreto por el que se modifican diversas disposiciones </w:t>
      </w:r>
      <w:r w:rsidR="00AF1DD7">
        <w:rPr>
          <w:color w:val="000000"/>
          <w:sz w:val="28"/>
          <w:szCs w:val="28"/>
        </w:rPr>
        <w:t xml:space="preserve">de la </w:t>
      </w:r>
      <w:r w:rsidR="00383011" w:rsidRPr="00A506C8">
        <w:rPr>
          <w:bCs/>
          <w:sz w:val="28"/>
          <w:szCs w:val="28"/>
        </w:rPr>
        <w:t>Ley para la Protección de las Personas Defensoras de Derechos Humanos para el Estado de Coahuila de Zaragoza</w:t>
      </w:r>
      <w:r w:rsidR="00832CD1">
        <w:rPr>
          <w:bCs/>
          <w:sz w:val="28"/>
          <w:szCs w:val="28"/>
        </w:rPr>
        <w:t>, bajo la siguiente:</w:t>
      </w:r>
    </w:p>
    <w:p w:rsidR="00291AA4" w:rsidRDefault="00291AA4">
      <w:pPr>
        <w:pStyle w:val="Normal1"/>
        <w:spacing w:line="360" w:lineRule="auto"/>
        <w:jc w:val="center"/>
        <w:rPr>
          <w:b/>
          <w:sz w:val="28"/>
          <w:szCs w:val="28"/>
        </w:rPr>
      </w:pPr>
    </w:p>
    <w:p w:rsidR="00291AA4" w:rsidRDefault="001E72E9">
      <w:pPr>
        <w:pStyle w:val="Normal1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Exposición de Motivos.</w:t>
      </w:r>
    </w:p>
    <w:p w:rsidR="00383011" w:rsidRDefault="00383011" w:rsidP="00383011">
      <w:pPr>
        <w:pStyle w:val="Normal1"/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383011">
        <w:rPr>
          <w:color w:val="000000"/>
          <w:sz w:val="28"/>
          <w:szCs w:val="28"/>
          <w:shd w:val="clear" w:color="auto" w:fill="FFFFFF"/>
        </w:rPr>
        <w:t>Se usa la expresión “defensor de los derechos humanos” para describir a la persona que, individualmente o junto con otras, se esfuerza en promover o proteger esos derechos. Se les conoce sobre todo por lo que hacen, y la mejor forma de explicar lo que son consiste en describir sus actividades y algunos de los contextos en que actúan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B13E94">
        <w:rPr>
          <w:color w:val="000000"/>
          <w:sz w:val="28"/>
          <w:szCs w:val="28"/>
          <w:shd w:val="clear" w:color="auto" w:fill="FFFFFF"/>
        </w:rPr>
        <w:t>Así</w:t>
      </w:r>
      <w:r>
        <w:rPr>
          <w:color w:val="000000"/>
          <w:sz w:val="28"/>
          <w:szCs w:val="28"/>
          <w:shd w:val="clear" w:color="auto" w:fill="FFFFFF"/>
        </w:rPr>
        <w:t xml:space="preserve"> lo define la oficina del alto comisionado en derechos Humanos de la ONU.</w:t>
      </w:r>
    </w:p>
    <w:p w:rsidR="00383011" w:rsidRDefault="00383011" w:rsidP="00383011">
      <w:pPr>
        <w:pStyle w:val="Normal1"/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383011" w:rsidRPr="00FD2F19" w:rsidRDefault="00383011" w:rsidP="00383011">
      <w:pPr>
        <w:pStyle w:val="Normal1"/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FD2F19">
        <w:rPr>
          <w:color w:val="000000"/>
          <w:sz w:val="28"/>
          <w:szCs w:val="28"/>
          <w:shd w:val="clear" w:color="auto" w:fill="FFFFFF"/>
        </w:rPr>
        <w:lastRenderedPageBreak/>
        <w:t>Los defensores abordan cualesquiera problemas de derechos humanos, que pueden comprender desde las ejecuciones sumarias hasta la tortura, la detención y prisión arbitrarias, la mutilación genital de las mujeres, la discriminación, las cuestiones laborales, las expulsiones forzadas, el acceso a la atención sanitaria o los desechos tóxicos y su impacto en el medio ambiente</w:t>
      </w:r>
    </w:p>
    <w:p w:rsidR="00FD2F19" w:rsidRDefault="00FD2F19" w:rsidP="00383011">
      <w:pPr>
        <w:pStyle w:val="Normal1"/>
        <w:spacing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FD2F19" w:rsidRDefault="00FD2F19" w:rsidP="00383011">
      <w:pPr>
        <w:pStyle w:val="Normal1"/>
        <w:spacing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FD2F19" w:rsidRDefault="00FD2F19" w:rsidP="00FD2F19">
      <w:pPr>
        <w:spacing w:line="360" w:lineRule="auto"/>
        <w:rPr>
          <w:sz w:val="28"/>
          <w:szCs w:val="28"/>
        </w:rPr>
      </w:pPr>
      <w:r w:rsidRPr="00C54393">
        <w:rPr>
          <w:sz w:val="28"/>
          <w:szCs w:val="28"/>
        </w:rPr>
        <w:t>En Coahuila contamos con una Ley para la Protección de las Personas Defensoras de Derechos Humanos, la cual establece las medidas de</w:t>
      </w:r>
      <w:r>
        <w:rPr>
          <w:sz w:val="28"/>
          <w:szCs w:val="28"/>
        </w:rPr>
        <w:t xml:space="preserve"> prevención y</w:t>
      </w:r>
      <w:r w:rsidRPr="00C54393">
        <w:rPr>
          <w:sz w:val="28"/>
          <w:szCs w:val="28"/>
        </w:rPr>
        <w:t xml:space="preserve"> protección, para garantizar el libre ejercicio de la labor</w:t>
      </w:r>
      <w:r>
        <w:rPr>
          <w:sz w:val="28"/>
          <w:szCs w:val="28"/>
        </w:rPr>
        <w:t xml:space="preserve"> de</w:t>
      </w:r>
      <w:r w:rsidRPr="00C54393">
        <w:rPr>
          <w:sz w:val="28"/>
          <w:szCs w:val="28"/>
        </w:rPr>
        <w:t xml:space="preserve"> promoción y defensa de los derechos humanos</w:t>
      </w:r>
      <w:r>
        <w:rPr>
          <w:sz w:val="28"/>
          <w:szCs w:val="28"/>
        </w:rPr>
        <w:t xml:space="preserve">, así como la </w:t>
      </w:r>
      <w:r w:rsidRPr="00C54393">
        <w:rPr>
          <w:sz w:val="28"/>
          <w:szCs w:val="28"/>
        </w:rPr>
        <w:t xml:space="preserve">vida, la integridad y la seguridad de toda persona que se encuentre en situación de riesgo por el ejercicio de su trabajo </w:t>
      </w:r>
      <w:r>
        <w:rPr>
          <w:sz w:val="28"/>
          <w:szCs w:val="28"/>
        </w:rPr>
        <w:t>en</w:t>
      </w:r>
      <w:r w:rsidRPr="00C54393">
        <w:rPr>
          <w:sz w:val="28"/>
          <w:szCs w:val="28"/>
        </w:rPr>
        <w:t xml:space="preserve"> la defensa </w:t>
      </w:r>
      <w:r>
        <w:rPr>
          <w:sz w:val="28"/>
          <w:szCs w:val="28"/>
        </w:rPr>
        <w:t>de los derechos humanos.</w:t>
      </w:r>
    </w:p>
    <w:p w:rsidR="00FD2F19" w:rsidRDefault="00FD2F19" w:rsidP="00FD2F19">
      <w:pPr>
        <w:pStyle w:val="Normal1"/>
        <w:spacing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291AA4" w:rsidRDefault="001E72E9">
      <w:pPr>
        <w:pStyle w:val="Normal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En virtud de lo anterior, es que se somete a consideración de este Honorable Pleno del Congreso del Estado, para su revisión, análisis y, en su caso, aprobación, la siguiente:</w:t>
      </w:r>
    </w:p>
    <w:p w:rsidR="00291AA4" w:rsidRDefault="00291AA4">
      <w:pPr>
        <w:pStyle w:val="Normal1"/>
        <w:spacing w:line="360" w:lineRule="auto"/>
        <w:rPr>
          <w:color w:val="000000"/>
          <w:sz w:val="28"/>
          <w:szCs w:val="28"/>
        </w:rPr>
      </w:pPr>
    </w:p>
    <w:p w:rsidR="00FD1A18" w:rsidRPr="00B25695" w:rsidRDefault="001E72E9" w:rsidP="001E72E9">
      <w:pPr>
        <w:pStyle w:val="Normal1"/>
        <w:spacing w:line="360" w:lineRule="auto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Iniciativa de Decreto por el que se modifica</w:t>
      </w:r>
      <w:r w:rsidR="00FD1A18">
        <w:rPr>
          <w:color w:val="000000"/>
          <w:sz w:val="28"/>
          <w:szCs w:val="28"/>
        </w:rPr>
        <w:t xml:space="preserve"> el Artículo 10, la Fracción IV del artículo 18, la Fracción III del artículo 19 as</w:t>
      </w:r>
      <w:r w:rsidR="00B25695">
        <w:rPr>
          <w:color w:val="000000"/>
          <w:sz w:val="28"/>
          <w:szCs w:val="28"/>
        </w:rPr>
        <w:t>í como el artí</w:t>
      </w:r>
      <w:r w:rsidR="00FD1A18">
        <w:rPr>
          <w:color w:val="000000"/>
          <w:sz w:val="28"/>
          <w:szCs w:val="28"/>
        </w:rPr>
        <w:t>culo</w:t>
      </w:r>
      <w:r w:rsidR="00B25695">
        <w:rPr>
          <w:color w:val="000000"/>
          <w:sz w:val="28"/>
          <w:szCs w:val="28"/>
        </w:rPr>
        <w:t xml:space="preserve"> 21</w:t>
      </w:r>
      <w:r w:rsidR="00AE5843">
        <w:rPr>
          <w:color w:val="000000"/>
          <w:sz w:val="28"/>
          <w:szCs w:val="28"/>
        </w:rPr>
        <w:t xml:space="preserve"> </w:t>
      </w:r>
      <w:r w:rsidR="00B25695">
        <w:rPr>
          <w:color w:val="000000"/>
          <w:sz w:val="28"/>
          <w:szCs w:val="28"/>
        </w:rPr>
        <w:t>todos de la Ley</w:t>
      </w:r>
      <w:r w:rsidR="00B25695" w:rsidRPr="00A506C8">
        <w:rPr>
          <w:bCs/>
          <w:sz w:val="28"/>
          <w:szCs w:val="28"/>
        </w:rPr>
        <w:t xml:space="preserve"> para la Protección de las Personas Defensoras de Derechos Humanos para el Estado de Coahuila de Zaragoza</w:t>
      </w:r>
      <w:r w:rsidR="00B25695">
        <w:rPr>
          <w:bCs/>
          <w:sz w:val="28"/>
          <w:szCs w:val="28"/>
        </w:rPr>
        <w:t>, para quedar como sigue:</w:t>
      </w:r>
      <w:r w:rsidR="00B25695">
        <w:rPr>
          <w:color w:val="000000"/>
          <w:sz w:val="28"/>
          <w:szCs w:val="28"/>
        </w:rPr>
        <w:t xml:space="preserve"> </w:t>
      </w:r>
      <w:r w:rsidR="00FD1A18">
        <w:rPr>
          <w:color w:val="000000"/>
          <w:sz w:val="28"/>
          <w:szCs w:val="28"/>
        </w:rPr>
        <w:t xml:space="preserve">  </w:t>
      </w:r>
    </w:p>
    <w:p w:rsidR="00FD1A18" w:rsidRDefault="00FD1A18" w:rsidP="001E72E9">
      <w:pPr>
        <w:pStyle w:val="Normal1"/>
        <w:spacing w:line="360" w:lineRule="auto"/>
        <w:rPr>
          <w:color w:val="000000"/>
          <w:sz w:val="28"/>
          <w:szCs w:val="28"/>
        </w:rPr>
      </w:pPr>
    </w:p>
    <w:p w:rsidR="00FD1A18" w:rsidRDefault="00FD1A18" w:rsidP="001E72E9">
      <w:pPr>
        <w:pStyle w:val="Normal1"/>
        <w:spacing w:line="360" w:lineRule="auto"/>
        <w:rPr>
          <w:color w:val="00000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9"/>
        <w:gridCol w:w="4697"/>
      </w:tblGrid>
      <w:tr w:rsidR="007362DE" w:rsidTr="007362DE">
        <w:tc>
          <w:tcPr>
            <w:tcW w:w="5111" w:type="dxa"/>
          </w:tcPr>
          <w:p w:rsidR="007362DE" w:rsidRDefault="00CC12EE">
            <w:pPr>
              <w:pStyle w:val="Normal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ANTERIOR</w:t>
            </w:r>
          </w:p>
        </w:tc>
        <w:tc>
          <w:tcPr>
            <w:tcW w:w="5111" w:type="dxa"/>
          </w:tcPr>
          <w:p w:rsidR="007362DE" w:rsidRDefault="00CC12EE">
            <w:pPr>
              <w:pStyle w:val="Normal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REFORMA</w:t>
            </w:r>
          </w:p>
        </w:tc>
      </w:tr>
      <w:tr w:rsidR="007362DE" w:rsidTr="007362DE">
        <w:tc>
          <w:tcPr>
            <w:tcW w:w="5111" w:type="dxa"/>
          </w:tcPr>
          <w:p w:rsidR="007362DE" w:rsidRDefault="007362DE" w:rsidP="0073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Artículo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El</w:t>
            </w:r>
            <w:proofErr w:type="gramEnd"/>
            <w:r>
              <w:rPr>
                <w:sz w:val="28"/>
                <w:szCs w:val="28"/>
              </w:rPr>
              <w:t xml:space="preserve"> Comité se integrará por cuatro personas expertas en materia de evaluación de riesgos y protección, una de ellas deberá serlo en la defensa de derechos humanos; asimismo, una o un representante de la Comisión Estatal de Seguridad, de la Fiscalía General del Estado y de la Secretaría de Gobierno; quienes contarán con atribuciones para la implementación de las medidas de prevención y de protección.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7362DE" w:rsidRDefault="007362DE" w:rsidP="007362DE">
            <w:pPr>
              <w:rPr>
                <w:sz w:val="28"/>
                <w:szCs w:val="28"/>
              </w:rPr>
            </w:pPr>
          </w:p>
          <w:p w:rsidR="007362DE" w:rsidRPr="008A5272" w:rsidRDefault="007362DE" w:rsidP="007362DE">
            <w:pPr>
              <w:rPr>
                <w:b/>
                <w:bCs/>
                <w:sz w:val="28"/>
                <w:szCs w:val="28"/>
              </w:rPr>
            </w:pPr>
            <w:r w:rsidRPr="008A5272">
              <w:rPr>
                <w:b/>
                <w:bCs/>
                <w:sz w:val="28"/>
                <w:szCs w:val="28"/>
              </w:rPr>
              <w:t xml:space="preserve">… </w:t>
            </w:r>
          </w:p>
          <w:p w:rsidR="007362DE" w:rsidRDefault="007362DE" w:rsidP="007362DE">
            <w:pPr>
              <w:spacing w:line="276" w:lineRule="auto"/>
              <w:rPr>
                <w:sz w:val="28"/>
                <w:szCs w:val="28"/>
              </w:rPr>
            </w:pPr>
          </w:p>
          <w:p w:rsidR="00CC12EE" w:rsidRDefault="00CC12EE" w:rsidP="0073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 w:rsidRPr="00CC12EE">
              <w:rPr>
                <w:sz w:val="28"/>
                <w:szCs w:val="28"/>
              </w:rPr>
              <w:t xml:space="preserve">Artículo 18.- Las medidas de prevención incluyen: </w:t>
            </w:r>
          </w:p>
          <w:p w:rsidR="00CC12EE" w:rsidRDefault="00CC12EE" w:rsidP="0073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 w:rsidRPr="00CC12EE">
              <w:rPr>
                <w:sz w:val="28"/>
                <w:szCs w:val="28"/>
              </w:rPr>
              <w:t xml:space="preserve">I. Instructivos. </w:t>
            </w:r>
          </w:p>
          <w:p w:rsidR="00CC12EE" w:rsidRDefault="00CC12EE" w:rsidP="0073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 w:rsidRPr="00CC12EE">
              <w:rPr>
                <w:sz w:val="28"/>
                <w:szCs w:val="28"/>
              </w:rPr>
              <w:t xml:space="preserve">II. Manuales. </w:t>
            </w:r>
          </w:p>
          <w:p w:rsidR="00CC12EE" w:rsidRDefault="00CC12EE" w:rsidP="0073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 w:rsidRPr="00CC12EE">
              <w:rPr>
                <w:sz w:val="28"/>
                <w:szCs w:val="28"/>
              </w:rPr>
              <w:t xml:space="preserve">III. Cursos de autoprotección individuales o colectivos. </w:t>
            </w:r>
          </w:p>
          <w:p w:rsidR="00CC12EE" w:rsidRDefault="00CC12EE" w:rsidP="0073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 w:rsidRPr="00CC12EE">
              <w:rPr>
                <w:sz w:val="28"/>
                <w:szCs w:val="28"/>
              </w:rPr>
              <w:t xml:space="preserve">IV. Asistencia legal. </w:t>
            </w:r>
          </w:p>
          <w:p w:rsidR="00CC12EE" w:rsidRDefault="00CC12EE" w:rsidP="0073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 w:rsidRPr="00CC12EE">
              <w:rPr>
                <w:sz w:val="28"/>
                <w:szCs w:val="28"/>
              </w:rPr>
              <w:t xml:space="preserve">V. Instalación de cámaras de seguridad. </w:t>
            </w:r>
          </w:p>
          <w:p w:rsidR="007362DE" w:rsidRDefault="00CC12EE" w:rsidP="0073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 w:rsidRPr="00CC12EE">
              <w:rPr>
                <w:sz w:val="28"/>
                <w:szCs w:val="28"/>
              </w:rPr>
              <w:t>VI. Establecimiento de líneas de comunicación directas con autoridades de seguridad pública</w:t>
            </w:r>
          </w:p>
          <w:p w:rsidR="00CC12EE" w:rsidRPr="00CC12EE" w:rsidRDefault="00CC12EE" w:rsidP="0073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7362DE" w:rsidRDefault="007362DE" w:rsidP="0073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Artículo 19</w:t>
            </w:r>
            <w:r>
              <w:rPr>
                <w:color w:val="000000"/>
                <w:sz w:val="28"/>
                <w:szCs w:val="28"/>
              </w:rPr>
              <w:t xml:space="preserve"> Las medidas de protección incluyen:  </w:t>
            </w:r>
          </w:p>
          <w:p w:rsidR="007362DE" w:rsidRDefault="007362DE" w:rsidP="0073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7362DE" w:rsidRDefault="007362DE" w:rsidP="0073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I. a la II. …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7362DE" w:rsidRDefault="007362DE" w:rsidP="0073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4" w:hanging="454"/>
              <w:rPr>
                <w:color w:val="000000"/>
                <w:sz w:val="28"/>
                <w:szCs w:val="28"/>
              </w:rPr>
            </w:pPr>
          </w:p>
          <w:p w:rsidR="00CC12EE" w:rsidRDefault="007362DE" w:rsidP="0073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III.</w:t>
            </w:r>
            <w:r>
              <w:rPr>
                <w:color w:val="000000"/>
                <w:sz w:val="28"/>
                <w:szCs w:val="28"/>
              </w:rPr>
              <w:tab/>
              <w:t>Escoltas de cuerpos especializados,</w:t>
            </w:r>
          </w:p>
          <w:p w:rsidR="00CC12EE" w:rsidRDefault="007362DE" w:rsidP="0073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7362DE" w:rsidRDefault="007362DE" w:rsidP="0073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IV. a la VII. … </w:t>
            </w:r>
          </w:p>
          <w:p w:rsidR="007362DE" w:rsidRDefault="007362DE" w:rsidP="0073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7362DE" w:rsidRDefault="007362DE" w:rsidP="0073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Artículo 21.-</w:t>
            </w:r>
            <w:r>
              <w:rPr>
                <w:color w:val="000000"/>
                <w:sz w:val="28"/>
                <w:szCs w:val="28"/>
              </w:rPr>
              <w:t xml:space="preserve"> La Comisión podrá retirar las medidas de prevención y de protección a la persona beneficiaria cuando realice su uso indebido de manera deliberada y reiterada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7362DE" w:rsidRDefault="007362DE" w:rsidP="007362DE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7362DE" w:rsidRDefault="007362DE">
            <w:pPr>
              <w:pStyle w:val="Normal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11" w:type="dxa"/>
          </w:tcPr>
          <w:p w:rsidR="007362DE" w:rsidRDefault="007362DE" w:rsidP="0073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Artículo 10.</w:t>
            </w:r>
            <w:r>
              <w:rPr>
                <w:sz w:val="28"/>
                <w:szCs w:val="28"/>
              </w:rPr>
              <w:t xml:space="preserve">El Comité se integrará por </w:t>
            </w:r>
            <w:r w:rsidRPr="007362DE">
              <w:rPr>
                <w:b/>
                <w:sz w:val="28"/>
                <w:szCs w:val="28"/>
              </w:rPr>
              <w:t>cinco</w:t>
            </w:r>
            <w:r>
              <w:rPr>
                <w:sz w:val="28"/>
                <w:szCs w:val="28"/>
              </w:rPr>
              <w:t xml:space="preserve"> personas expertas en materia de evaluación de riesgos y protección, una de ellas deberá serlo en la defensa de derechos humanos; asimismo, una o un representante de la Comisión Estatal de Seguridad, de la Fiscalía General del Estado y de la Secretaría de Gobierno y Otro dela Comisión Estatal de Derechos Humanos; quienes contarán con atribuciones para la implementación de las medidas de prevención y de protección, </w:t>
            </w:r>
            <w:r w:rsidRPr="008A5272">
              <w:rPr>
                <w:b/>
                <w:bCs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 través de un estudio de evaluación de situación de riesgo, donde se analizará los factores que determinen el nivel de riesgo en que se encuentra la persona beneficiaria. </w:t>
            </w:r>
          </w:p>
          <w:p w:rsidR="007362DE" w:rsidRDefault="007362DE" w:rsidP="007362DE">
            <w:pPr>
              <w:rPr>
                <w:sz w:val="28"/>
                <w:szCs w:val="28"/>
              </w:rPr>
            </w:pPr>
          </w:p>
          <w:p w:rsidR="007362DE" w:rsidRPr="008A5272" w:rsidRDefault="007362DE" w:rsidP="007362DE">
            <w:pPr>
              <w:rPr>
                <w:b/>
                <w:bCs/>
                <w:sz w:val="28"/>
                <w:szCs w:val="28"/>
              </w:rPr>
            </w:pPr>
            <w:r w:rsidRPr="008A5272">
              <w:rPr>
                <w:b/>
                <w:bCs/>
                <w:sz w:val="28"/>
                <w:szCs w:val="28"/>
              </w:rPr>
              <w:t xml:space="preserve">… </w:t>
            </w:r>
          </w:p>
          <w:p w:rsidR="007362DE" w:rsidRDefault="007362DE" w:rsidP="007362DE">
            <w:pPr>
              <w:spacing w:line="276" w:lineRule="auto"/>
              <w:rPr>
                <w:sz w:val="28"/>
                <w:szCs w:val="28"/>
              </w:rPr>
            </w:pPr>
          </w:p>
          <w:p w:rsidR="007362DE" w:rsidRDefault="007362DE" w:rsidP="0073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Artículo 18.-</w:t>
            </w:r>
            <w:r>
              <w:rPr>
                <w:color w:val="000000"/>
                <w:sz w:val="28"/>
                <w:szCs w:val="28"/>
              </w:rPr>
              <w:t xml:space="preserve"> Las medidas de prevención incluyen:  </w:t>
            </w:r>
          </w:p>
          <w:p w:rsidR="007362DE" w:rsidRDefault="007362DE" w:rsidP="0073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7362DE" w:rsidRDefault="007362DE" w:rsidP="0073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I. a la III. …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7362DE" w:rsidRDefault="007362DE" w:rsidP="0073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color w:val="000000"/>
                <w:sz w:val="28"/>
                <w:szCs w:val="28"/>
              </w:rPr>
            </w:pPr>
          </w:p>
          <w:p w:rsidR="007362DE" w:rsidRDefault="007362DE" w:rsidP="0073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IV.</w:t>
            </w:r>
            <w:r>
              <w:rPr>
                <w:color w:val="000000"/>
                <w:sz w:val="28"/>
                <w:szCs w:val="28"/>
              </w:rPr>
              <w:tab/>
              <w:t xml:space="preserve">Asistencia legal. </w:t>
            </w:r>
            <w:r>
              <w:rPr>
                <w:b/>
                <w:color w:val="000000"/>
                <w:sz w:val="28"/>
                <w:szCs w:val="28"/>
              </w:rPr>
              <w:t xml:space="preserve">A través de acciones de tutela y orientación para la defensa de sus derechos derivados de sus actividades profesionales. </w:t>
            </w:r>
          </w:p>
          <w:p w:rsidR="007362DE" w:rsidRDefault="007362DE" w:rsidP="0073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color w:val="000000"/>
                <w:sz w:val="28"/>
                <w:szCs w:val="28"/>
              </w:rPr>
            </w:pPr>
          </w:p>
          <w:p w:rsidR="007362DE" w:rsidRDefault="007362DE" w:rsidP="0073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V. a </w:t>
            </w:r>
            <w:r w:rsidR="00FD1A18">
              <w:rPr>
                <w:color w:val="000000"/>
                <w:sz w:val="28"/>
                <w:szCs w:val="28"/>
              </w:rPr>
              <w:t>la VI</w:t>
            </w:r>
            <w:r>
              <w:rPr>
                <w:color w:val="000000"/>
                <w:sz w:val="28"/>
                <w:szCs w:val="28"/>
              </w:rPr>
              <w:t>. …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7362DE" w:rsidRDefault="007362DE" w:rsidP="0073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7362DE" w:rsidRDefault="007362DE" w:rsidP="0073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Artículo 19</w:t>
            </w:r>
            <w:r>
              <w:rPr>
                <w:color w:val="000000"/>
                <w:sz w:val="28"/>
                <w:szCs w:val="28"/>
              </w:rPr>
              <w:t xml:space="preserve"> Las medidas de protección incluyen:  </w:t>
            </w:r>
          </w:p>
          <w:p w:rsidR="007362DE" w:rsidRDefault="007362DE" w:rsidP="0073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7362DE" w:rsidRDefault="007362DE" w:rsidP="0073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I. a la II. …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7362DE" w:rsidRDefault="007362DE" w:rsidP="0073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4" w:hanging="454"/>
              <w:rPr>
                <w:color w:val="000000"/>
                <w:sz w:val="28"/>
                <w:szCs w:val="28"/>
              </w:rPr>
            </w:pPr>
          </w:p>
          <w:p w:rsidR="007362DE" w:rsidRDefault="007362DE" w:rsidP="0073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III.</w:t>
            </w:r>
            <w:r>
              <w:rPr>
                <w:color w:val="000000"/>
                <w:sz w:val="28"/>
                <w:szCs w:val="28"/>
              </w:rPr>
              <w:tab/>
              <w:t>Escoltas de cuerpos especializados,</w:t>
            </w:r>
            <w:r>
              <w:rPr>
                <w:b/>
                <w:color w:val="000000"/>
                <w:sz w:val="28"/>
                <w:szCs w:val="28"/>
              </w:rPr>
              <w:t xml:space="preserve"> protocolos de seguridad individual y colectivos, incluidos el manejo de información y seguridad cibernética. </w:t>
            </w:r>
          </w:p>
          <w:p w:rsidR="007362DE" w:rsidRDefault="007362DE" w:rsidP="0073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4" w:hanging="454"/>
              <w:rPr>
                <w:color w:val="000000"/>
                <w:sz w:val="28"/>
                <w:szCs w:val="28"/>
              </w:rPr>
            </w:pPr>
          </w:p>
          <w:p w:rsidR="007362DE" w:rsidRDefault="007362DE" w:rsidP="0073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IV. a la VII. … </w:t>
            </w:r>
          </w:p>
          <w:p w:rsidR="007362DE" w:rsidRDefault="007362DE" w:rsidP="0073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7362DE" w:rsidRDefault="007362DE" w:rsidP="0073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Artículo 21.-</w:t>
            </w:r>
            <w:r>
              <w:rPr>
                <w:color w:val="000000"/>
                <w:sz w:val="28"/>
                <w:szCs w:val="28"/>
              </w:rPr>
              <w:t xml:space="preserve"> La Comisión podrá retirar las medidas de prevención y de protección a la persona beneficiaria cuando realice su uso indebido de manera deliberada y reiterada;</w:t>
            </w:r>
            <w:r w:rsidR="00B13E9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la decisión de la Comisión se basará en una reevaluación de riesgo y bajo los principios de defensa de la vida e integridad, el principio pro- persona y cuando se compruebe </w:t>
            </w: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cualquiera de las acciones señaladas en el artículo anterior. </w:t>
            </w:r>
          </w:p>
          <w:p w:rsidR="007362DE" w:rsidRDefault="007362DE" w:rsidP="007362DE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7362DE" w:rsidRDefault="007362DE">
            <w:pPr>
              <w:pStyle w:val="Normal1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291AA4" w:rsidRDefault="00291AA4">
      <w:pPr>
        <w:pStyle w:val="Normal1"/>
        <w:spacing w:line="360" w:lineRule="auto"/>
        <w:rPr>
          <w:sz w:val="28"/>
          <w:szCs w:val="28"/>
        </w:rPr>
      </w:pPr>
    </w:p>
    <w:p w:rsidR="00291AA4" w:rsidRDefault="001E72E9">
      <w:pPr>
        <w:pStyle w:val="Normal1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ARTÍCULO TRANSITORIO</w:t>
      </w:r>
    </w:p>
    <w:p w:rsidR="00291AA4" w:rsidRPr="001E7B15" w:rsidRDefault="001E72E9">
      <w:pPr>
        <w:pStyle w:val="Normal1"/>
        <w:spacing w:line="360" w:lineRule="auto"/>
        <w:rPr>
          <w:b/>
          <w:color w:val="000000"/>
          <w:sz w:val="28"/>
          <w:szCs w:val="28"/>
        </w:rPr>
      </w:pPr>
      <w:proofErr w:type="gramStart"/>
      <w:r w:rsidRPr="001E7B15">
        <w:rPr>
          <w:b/>
          <w:color w:val="000000"/>
          <w:sz w:val="28"/>
          <w:szCs w:val="28"/>
        </w:rPr>
        <w:t>Único.-</w:t>
      </w:r>
      <w:proofErr w:type="gramEnd"/>
      <w:r w:rsidRPr="001E7B15">
        <w:rPr>
          <w:b/>
          <w:color w:val="000000"/>
          <w:sz w:val="28"/>
          <w:szCs w:val="28"/>
        </w:rPr>
        <w:t xml:space="preserve"> </w:t>
      </w:r>
      <w:r w:rsidRPr="001E7B15">
        <w:rPr>
          <w:color w:val="000000"/>
          <w:sz w:val="28"/>
          <w:szCs w:val="28"/>
        </w:rPr>
        <w:t>Las presentes modificaciones a la</w:t>
      </w:r>
      <w:r w:rsidR="00CC12EE" w:rsidRPr="001E7B15">
        <w:rPr>
          <w:bCs/>
          <w:sz w:val="28"/>
          <w:szCs w:val="28"/>
        </w:rPr>
        <w:t xml:space="preserve"> Ley para la Protección de las Personas Defensoras de Derechos Humanos para el Estado de Coahuila de Zaragoza</w:t>
      </w:r>
      <w:r w:rsidRPr="001E7B15">
        <w:rPr>
          <w:color w:val="000000"/>
          <w:sz w:val="28"/>
          <w:szCs w:val="28"/>
        </w:rPr>
        <w:t>, entrarán en vigor al día siguiente de su publicación en el Periódico Oficial del Gobierno del Estado.</w:t>
      </w:r>
    </w:p>
    <w:p w:rsidR="00291AA4" w:rsidRDefault="00291AA4">
      <w:pPr>
        <w:pStyle w:val="Normal1"/>
        <w:spacing w:line="360" w:lineRule="auto"/>
        <w:rPr>
          <w:sz w:val="28"/>
          <w:szCs w:val="28"/>
        </w:rPr>
      </w:pPr>
    </w:p>
    <w:p w:rsidR="00291AA4" w:rsidRDefault="001E72E9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Atentamente</w:t>
      </w:r>
    </w:p>
    <w:p w:rsidR="00291AA4" w:rsidRDefault="0084066E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Saltillo, Coahuila a </w:t>
      </w:r>
      <w:proofErr w:type="gramStart"/>
      <w:r>
        <w:rPr>
          <w:b/>
          <w:sz w:val="28"/>
          <w:szCs w:val="28"/>
        </w:rPr>
        <w:t>Octubre</w:t>
      </w:r>
      <w:proofErr w:type="gramEnd"/>
      <w:r>
        <w:rPr>
          <w:b/>
          <w:sz w:val="28"/>
          <w:szCs w:val="28"/>
        </w:rPr>
        <w:t xml:space="preserve"> 26</w:t>
      </w:r>
      <w:r w:rsidR="001E72E9">
        <w:rPr>
          <w:b/>
          <w:sz w:val="28"/>
          <w:szCs w:val="28"/>
        </w:rPr>
        <w:t xml:space="preserve"> de 2021</w:t>
      </w:r>
    </w:p>
    <w:p w:rsidR="00291AA4" w:rsidRDefault="001E72E9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Grupo Parlamentario de morena.</w:t>
      </w:r>
    </w:p>
    <w:p w:rsidR="00291AA4" w:rsidRDefault="00291AA4">
      <w:pPr>
        <w:pStyle w:val="Normal1"/>
        <w:spacing w:line="360" w:lineRule="auto"/>
        <w:jc w:val="center"/>
        <w:rPr>
          <w:b/>
          <w:sz w:val="28"/>
          <w:szCs w:val="28"/>
        </w:rPr>
      </w:pPr>
    </w:p>
    <w:p w:rsidR="00981238" w:rsidRDefault="00981238">
      <w:pPr>
        <w:pStyle w:val="Normal1"/>
        <w:spacing w:line="360" w:lineRule="auto"/>
        <w:jc w:val="center"/>
        <w:rPr>
          <w:b/>
          <w:sz w:val="28"/>
          <w:szCs w:val="28"/>
        </w:rPr>
      </w:pPr>
    </w:p>
    <w:p w:rsidR="00291AA4" w:rsidRDefault="001E72E9">
      <w:pPr>
        <w:pStyle w:val="Normal1"/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Dip</w:t>
      </w:r>
      <w:proofErr w:type="spellEnd"/>
      <w:r>
        <w:rPr>
          <w:b/>
          <w:sz w:val="28"/>
          <w:szCs w:val="28"/>
        </w:rPr>
        <w:t xml:space="preserve">. Teresa de Jesús </w:t>
      </w:r>
      <w:proofErr w:type="spellStart"/>
      <w:r>
        <w:rPr>
          <w:b/>
          <w:sz w:val="28"/>
          <w:szCs w:val="28"/>
        </w:rPr>
        <w:t>Meráz</w:t>
      </w:r>
      <w:proofErr w:type="spellEnd"/>
      <w:r>
        <w:rPr>
          <w:b/>
          <w:sz w:val="28"/>
          <w:szCs w:val="28"/>
        </w:rPr>
        <w:t xml:space="preserve"> García</w:t>
      </w:r>
    </w:p>
    <w:p w:rsidR="00981238" w:rsidRDefault="00981238">
      <w:pPr>
        <w:pStyle w:val="Normal1"/>
        <w:spacing w:line="360" w:lineRule="auto"/>
        <w:jc w:val="center"/>
        <w:rPr>
          <w:b/>
          <w:sz w:val="28"/>
          <w:szCs w:val="28"/>
        </w:rPr>
      </w:pPr>
    </w:p>
    <w:p w:rsidR="00291AA4" w:rsidRDefault="001E72E9">
      <w:pPr>
        <w:pStyle w:val="Normal1"/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Dip</w:t>
      </w:r>
      <w:proofErr w:type="spellEnd"/>
      <w:r>
        <w:rPr>
          <w:b/>
          <w:sz w:val="28"/>
          <w:szCs w:val="28"/>
        </w:rPr>
        <w:t xml:space="preserve">. Lizbeth </w:t>
      </w:r>
      <w:proofErr w:type="spellStart"/>
      <w:r>
        <w:rPr>
          <w:b/>
          <w:sz w:val="28"/>
          <w:szCs w:val="28"/>
        </w:rPr>
        <w:t>Ogazón</w:t>
      </w:r>
      <w:proofErr w:type="spellEnd"/>
      <w:r>
        <w:rPr>
          <w:b/>
          <w:sz w:val="28"/>
          <w:szCs w:val="28"/>
        </w:rPr>
        <w:t xml:space="preserve"> Nava</w:t>
      </w:r>
    </w:p>
    <w:p w:rsidR="00291AA4" w:rsidRDefault="00291AA4">
      <w:pPr>
        <w:pStyle w:val="Normal1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291AA4" w:rsidRDefault="001E72E9">
      <w:pPr>
        <w:pStyle w:val="Normal1"/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Dip</w:t>
      </w:r>
      <w:proofErr w:type="spellEnd"/>
      <w:r>
        <w:rPr>
          <w:b/>
          <w:sz w:val="28"/>
          <w:szCs w:val="28"/>
        </w:rPr>
        <w:t>. Laura Francisca Aguilar Tabares</w:t>
      </w:r>
    </w:p>
    <w:p w:rsidR="00291AA4" w:rsidRDefault="00291AA4">
      <w:pPr>
        <w:pStyle w:val="Normal1"/>
        <w:spacing w:line="360" w:lineRule="auto"/>
        <w:jc w:val="center"/>
        <w:rPr>
          <w:b/>
          <w:sz w:val="28"/>
          <w:szCs w:val="28"/>
        </w:rPr>
      </w:pPr>
    </w:p>
    <w:p w:rsidR="00291AA4" w:rsidRDefault="001E72E9">
      <w:pPr>
        <w:pStyle w:val="Normal1"/>
        <w:spacing w:line="360" w:lineRule="auto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Dip</w:t>
      </w:r>
      <w:proofErr w:type="spellEnd"/>
      <w:r>
        <w:rPr>
          <w:b/>
          <w:sz w:val="28"/>
          <w:szCs w:val="28"/>
        </w:rPr>
        <w:t>. Francisco Javier Cortes Gómez</w:t>
      </w:r>
    </w:p>
    <w:sectPr w:rsidR="00291AA4" w:rsidSect="00AE5843">
      <w:headerReference w:type="default" r:id="rId8"/>
      <w:footerReference w:type="default" r:id="rId9"/>
      <w:pgSz w:w="12242" w:h="15842" w:code="1"/>
      <w:pgMar w:top="1418" w:right="1418" w:bottom="1418" w:left="1418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6F3" w:rsidRDefault="007D66F3" w:rsidP="00291AA4">
      <w:r>
        <w:separator/>
      </w:r>
    </w:p>
  </w:endnote>
  <w:endnote w:type="continuationSeparator" w:id="0">
    <w:p w:rsidR="007D66F3" w:rsidRDefault="007D66F3" w:rsidP="0029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A4" w:rsidRDefault="0030143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1E72E9">
      <w:rPr>
        <w:color w:val="000000"/>
      </w:rPr>
      <w:instrText>PAGE</w:instrText>
    </w:r>
    <w:r>
      <w:rPr>
        <w:color w:val="000000"/>
      </w:rPr>
      <w:fldChar w:fldCharType="separate"/>
    </w:r>
    <w:r w:rsidR="00146F80">
      <w:rPr>
        <w:noProof/>
        <w:color w:val="000000"/>
      </w:rPr>
      <w:t>6</w:t>
    </w:r>
    <w:r>
      <w:rPr>
        <w:color w:val="000000"/>
      </w:rPr>
      <w:fldChar w:fldCharType="end"/>
    </w:r>
  </w:p>
  <w:p w:rsidR="00291AA4" w:rsidRDefault="00291AA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6F3" w:rsidRDefault="007D66F3" w:rsidP="00291AA4">
      <w:r>
        <w:separator/>
      </w:r>
    </w:p>
  </w:footnote>
  <w:footnote w:type="continuationSeparator" w:id="0">
    <w:p w:rsidR="007D66F3" w:rsidRDefault="007D66F3" w:rsidP="00291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A4" w:rsidRDefault="00291AA4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28"/>
        <w:szCs w:val="28"/>
      </w:rPr>
    </w:pPr>
  </w:p>
  <w:tbl>
    <w:tblPr>
      <w:tblStyle w:val="a0"/>
      <w:tblW w:w="11057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541"/>
      <w:gridCol w:w="8665"/>
      <w:gridCol w:w="851"/>
    </w:tblGrid>
    <w:tr w:rsidR="00291AA4">
      <w:trPr>
        <w:cantSplit/>
        <w:tblHeader/>
        <w:jc w:val="center"/>
      </w:trPr>
      <w:tc>
        <w:tcPr>
          <w:tcW w:w="1541" w:type="dxa"/>
        </w:tcPr>
        <w:p w:rsidR="00291AA4" w:rsidRDefault="001E72E9">
          <w:pPr>
            <w:pStyle w:val="Normal1"/>
            <w:jc w:val="center"/>
            <w:rPr>
              <w:b/>
              <w:sz w:val="12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-41274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0"/>
                <wp:wrapNone/>
                <wp:docPr id="1" name="image1.png" descr="Escudo de Coahuila de Zaragoza_BN_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Escudo de Coahuila de Zaragoza_BN_05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291AA4" w:rsidRDefault="00291AA4">
          <w:pPr>
            <w:pStyle w:val="Normal1"/>
            <w:jc w:val="center"/>
            <w:rPr>
              <w:b/>
              <w:sz w:val="12"/>
              <w:szCs w:val="12"/>
            </w:rPr>
          </w:pPr>
        </w:p>
        <w:p w:rsidR="00291AA4" w:rsidRDefault="00291AA4">
          <w:pPr>
            <w:pStyle w:val="Normal1"/>
            <w:jc w:val="center"/>
            <w:rPr>
              <w:b/>
              <w:sz w:val="12"/>
              <w:szCs w:val="12"/>
            </w:rPr>
          </w:pPr>
        </w:p>
      </w:tc>
      <w:tc>
        <w:tcPr>
          <w:tcW w:w="8665" w:type="dxa"/>
        </w:tcPr>
        <w:p w:rsidR="00291AA4" w:rsidRDefault="001E72E9">
          <w:pPr>
            <w:pStyle w:val="Normal1"/>
            <w:jc w:val="center"/>
            <w:rPr>
              <w:b/>
              <w:sz w:val="20"/>
              <w:szCs w:val="20"/>
            </w:rPr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4654909</wp:posOffset>
                </wp:positionH>
                <wp:positionV relativeFrom="paragraph">
                  <wp:posOffset>-10187</wp:posOffset>
                </wp:positionV>
                <wp:extent cx="1149792" cy="1144988"/>
                <wp:effectExtent l="0" t="0" r="0" b="0"/>
                <wp:wrapNone/>
                <wp:docPr id="2" name="image2.png" descr="LXII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XII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792" cy="11449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291AA4" w:rsidRDefault="001E72E9">
          <w:pPr>
            <w:pStyle w:val="Normal1"/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smallCaps/>
              <w:sz w:val="32"/>
              <w:szCs w:val="32"/>
            </w:rPr>
            <w:t xml:space="preserve">Estado Independiente, Libre y Soberano </w:t>
          </w:r>
        </w:p>
        <w:p w:rsidR="00291AA4" w:rsidRDefault="001E72E9">
          <w:pPr>
            <w:pStyle w:val="Normal1"/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smallCaps/>
              <w:sz w:val="32"/>
              <w:szCs w:val="32"/>
            </w:rPr>
            <w:t>de Coahuila de Zaragoza</w:t>
          </w:r>
        </w:p>
        <w:p w:rsidR="00291AA4" w:rsidRDefault="00291AA4">
          <w:pPr>
            <w:pStyle w:val="Normal1"/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sz w:val="20"/>
              <w:szCs w:val="20"/>
            </w:rPr>
          </w:pPr>
        </w:p>
        <w:p w:rsidR="00291AA4" w:rsidRDefault="001E72E9">
          <w:pPr>
            <w:pStyle w:val="Normal1"/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mallCaps/>
              <w:sz w:val="28"/>
              <w:szCs w:val="28"/>
            </w:rPr>
            <w:t>Poder Legislativo</w:t>
          </w:r>
        </w:p>
        <w:p w:rsidR="00291AA4" w:rsidRDefault="00291AA4">
          <w:pPr>
            <w:pStyle w:val="Normal1"/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b/>
              <w:sz w:val="16"/>
              <w:szCs w:val="16"/>
            </w:rPr>
          </w:pPr>
        </w:p>
        <w:p w:rsidR="00291AA4" w:rsidRDefault="001E72E9">
          <w:pPr>
            <w:pStyle w:val="Normal1"/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sz w:val="12"/>
              <w:szCs w:val="12"/>
            </w:rPr>
          </w:pPr>
          <w:r>
            <w:rPr>
              <w:sz w:val="18"/>
              <w:szCs w:val="18"/>
            </w:rPr>
            <w:t>“2021, Año del reconocimiento al trabajo del personal de salud por su lucha contra el COVID-19”</w:t>
          </w:r>
        </w:p>
      </w:tc>
      <w:tc>
        <w:tcPr>
          <w:tcW w:w="851" w:type="dxa"/>
        </w:tcPr>
        <w:p w:rsidR="00291AA4" w:rsidRDefault="00291AA4">
          <w:pPr>
            <w:pStyle w:val="Normal1"/>
            <w:jc w:val="center"/>
            <w:rPr>
              <w:b/>
              <w:sz w:val="12"/>
              <w:szCs w:val="12"/>
            </w:rPr>
          </w:pPr>
        </w:p>
      </w:tc>
    </w:tr>
  </w:tbl>
  <w:p w:rsidR="00291AA4" w:rsidRDefault="00291AA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546A6"/>
    <w:multiLevelType w:val="hybridMultilevel"/>
    <w:tmpl w:val="257690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A4"/>
    <w:rsid w:val="00066B28"/>
    <w:rsid w:val="00146F80"/>
    <w:rsid w:val="001A345A"/>
    <w:rsid w:val="001E72E9"/>
    <w:rsid w:val="001E7B15"/>
    <w:rsid w:val="00291AA4"/>
    <w:rsid w:val="00297B78"/>
    <w:rsid w:val="00301437"/>
    <w:rsid w:val="00383011"/>
    <w:rsid w:val="003B2F1C"/>
    <w:rsid w:val="00453F07"/>
    <w:rsid w:val="00493B20"/>
    <w:rsid w:val="004A70E5"/>
    <w:rsid w:val="005C0429"/>
    <w:rsid w:val="005F44B7"/>
    <w:rsid w:val="005F5DBE"/>
    <w:rsid w:val="006D67AF"/>
    <w:rsid w:val="007362DE"/>
    <w:rsid w:val="007456E2"/>
    <w:rsid w:val="007D66F3"/>
    <w:rsid w:val="00832CD1"/>
    <w:rsid w:val="0084066E"/>
    <w:rsid w:val="009066F1"/>
    <w:rsid w:val="00952F5A"/>
    <w:rsid w:val="00981238"/>
    <w:rsid w:val="00A0050A"/>
    <w:rsid w:val="00AB14E2"/>
    <w:rsid w:val="00AE5843"/>
    <w:rsid w:val="00AF1DD7"/>
    <w:rsid w:val="00B13E94"/>
    <w:rsid w:val="00B25695"/>
    <w:rsid w:val="00CC12EE"/>
    <w:rsid w:val="00DC678C"/>
    <w:rsid w:val="00DD022E"/>
    <w:rsid w:val="00E30500"/>
    <w:rsid w:val="00E40D9F"/>
    <w:rsid w:val="00F31CE9"/>
    <w:rsid w:val="00F617FE"/>
    <w:rsid w:val="00FC2161"/>
    <w:rsid w:val="00FD1A18"/>
    <w:rsid w:val="00FD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FED3E"/>
  <w15:docId w15:val="{9F3EA3BF-87D1-4F1E-AF07-C38DF9F1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B78"/>
  </w:style>
  <w:style w:type="paragraph" w:styleId="Ttulo1">
    <w:name w:val="heading 1"/>
    <w:basedOn w:val="Normal1"/>
    <w:next w:val="Normal1"/>
    <w:rsid w:val="00291AA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291A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91A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91AA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291AA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291A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91AA4"/>
  </w:style>
  <w:style w:type="table" w:customStyle="1" w:styleId="TableNormal">
    <w:name w:val="Table Normal"/>
    <w:rsid w:val="00291A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91AA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91A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91AA4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291AA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ql-align-justify">
    <w:name w:val="ql-align-justify"/>
    <w:basedOn w:val="Normal"/>
    <w:rsid w:val="00066B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066B28"/>
    <w:rPr>
      <w:i/>
      <w:iCs/>
    </w:rPr>
  </w:style>
  <w:style w:type="character" w:styleId="Textoennegrita">
    <w:name w:val="Strong"/>
    <w:basedOn w:val="Fuentedeprrafopredeter"/>
    <w:uiPriority w:val="22"/>
    <w:qFormat/>
    <w:rsid w:val="00066B2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2F1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3B2F1C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D2F19"/>
    <w:rPr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2F19"/>
    <w:rPr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D2F19"/>
    <w:rPr>
      <w:vertAlign w:val="superscript"/>
    </w:rPr>
  </w:style>
  <w:style w:type="table" w:styleId="Tablaconcuadrcula">
    <w:name w:val="Table Grid"/>
    <w:basedOn w:val="Tablanormal"/>
    <w:uiPriority w:val="59"/>
    <w:rsid w:val="007362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C69C-3A77-427D-8E69-356FA3D1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991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Juan Lumbreras</cp:lastModifiedBy>
  <cp:revision>3</cp:revision>
  <dcterms:created xsi:type="dcterms:W3CDTF">2021-10-26T18:37:00Z</dcterms:created>
  <dcterms:modified xsi:type="dcterms:W3CDTF">2021-10-26T18:37:00Z</dcterms:modified>
</cp:coreProperties>
</file>