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85" w:rsidRDefault="005A6085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371872" w:rsidRDefault="00371872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5A6085" w:rsidRPr="005A6085" w:rsidRDefault="005A6085" w:rsidP="0037187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5A608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 por el que se </w:t>
      </w:r>
      <w:r w:rsidR="00371872" w:rsidRPr="0037187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modifica el párrafo segundo de la fracción IV del artículo 2</w:t>
      </w:r>
      <w:r w:rsidR="00371872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, </w:t>
      </w:r>
      <w:r w:rsidRPr="005A6085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de la </w:t>
      </w:r>
      <w:r w:rsidRPr="005A608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Entrega-Recepción del Estado y Municipios de Coahuila de Zaragoza</w:t>
      </w:r>
      <w:r w:rsidRPr="005A608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5A6085" w:rsidRDefault="005A6085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5A6085" w:rsidRPr="005A6085" w:rsidRDefault="005A6085" w:rsidP="005A6085">
      <w:pPr>
        <w:numPr>
          <w:ilvl w:val="0"/>
          <w:numId w:val="1"/>
        </w:numPr>
        <w:contextualSpacing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5A608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A</w:t>
      </w:r>
      <w:r w:rsidRPr="005A6085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fin de homologar o empatar los conceptos que en materia electoral han ido evolucionando.</w:t>
      </w:r>
    </w:p>
    <w:p w:rsidR="005A6085" w:rsidRPr="005A6085" w:rsidRDefault="005A6085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:rsidR="005A6085" w:rsidRPr="00AE5843" w:rsidRDefault="005A6085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Planteada por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Diputada Teresa de Jesús </w:t>
      </w:r>
      <w:proofErr w:type="spellStart"/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Meraz</w:t>
      </w:r>
      <w:proofErr w:type="spell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García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, </w:t>
      </w: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5A6085" w:rsidRPr="00AE5843" w:rsidRDefault="005A6085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5A6085" w:rsidRPr="00AE5843" w:rsidRDefault="005A6085" w:rsidP="005A608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0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9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Noviembre</w:t>
      </w:r>
      <w:proofErr w:type="gramEnd"/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2021.</w:t>
      </w:r>
    </w:p>
    <w:p w:rsidR="005A6085" w:rsidRPr="00AE5843" w:rsidRDefault="005A6085" w:rsidP="005A6085">
      <w:pPr>
        <w:rPr>
          <w:rFonts w:ascii="Arial Narrow" w:eastAsia="Times New Roman" w:hAnsi="Arial Narrow"/>
          <w:sz w:val="26"/>
          <w:szCs w:val="26"/>
          <w:lang w:eastAsia="es-ES"/>
        </w:rPr>
      </w:pPr>
    </w:p>
    <w:p w:rsidR="005A6085" w:rsidRDefault="005A6085" w:rsidP="005A608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Turnada a la</w:t>
      </w: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7F490A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Gobernación, Puntos Constitucionales y Justicia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5A6085" w:rsidRPr="00AE5843" w:rsidRDefault="005A6085" w:rsidP="005A608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5A6085" w:rsidRPr="00AE5843" w:rsidRDefault="005A6085" w:rsidP="005A608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5A6085" w:rsidRPr="00AE5843" w:rsidRDefault="005A6085" w:rsidP="005A6085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5A6085" w:rsidRPr="00AE5843" w:rsidRDefault="005A6085" w:rsidP="005A6085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5A6085" w:rsidRPr="00AE5843" w:rsidRDefault="005A6085" w:rsidP="005A6085">
      <w:pPr>
        <w:ind w:left="1418" w:hanging="141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5A6085" w:rsidRPr="00AE5843" w:rsidRDefault="005A6085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AE5843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5A6085" w:rsidRPr="00AE5843" w:rsidRDefault="005A6085" w:rsidP="005A6085">
      <w:pP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5A6085" w:rsidRDefault="005A6085" w:rsidP="005A6085">
      <w:pPr>
        <w:pStyle w:val="Normal1"/>
        <w:rPr>
          <w:b/>
          <w:sz w:val="28"/>
          <w:szCs w:val="28"/>
        </w:rPr>
      </w:pPr>
    </w:p>
    <w:p w:rsidR="005A6085" w:rsidRDefault="005A608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A6085" w:rsidRDefault="005A608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A6085" w:rsidRDefault="005A608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A6085" w:rsidRDefault="005A608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5A6085" w:rsidRDefault="005A608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H. Pleno del Congreso del Estado</w:t>
      </w: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 Coahuila de Zaragoza.</w:t>
      </w: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Presente.-</w:t>
      </w:r>
      <w:proofErr w:type="gramEnd"/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suscrita Diputada Teresa de Jesús </w:t>
      </w:r>
      <w:proofErr w:type="spellStart"/>
      <w:r>
        <w:rPr>
          <w:color w:val="000000"/>
          <w:sz w:val="28"/>
          <w:szCs w:val="28"/>
        </w:rPr>
        <w:t>Meraz</w:t>
      </w:r>
      <w:proofErr w:type="spellEnd"/>
      <w:r>
        <w:rPr>
          <w:color w:val="000000"/>
          <w:sz w:val="28"/>
          <w:szCs w:val="28"/>
        </w:rPr>
        <w:t xml:space="preserve"> García con</w:t>
      </w:r>
      <w:r w:rsidR="005F2680">
        <w:rPr>
          <w:color w:val="000000"/>
          <w:sz w:val="28"/>
          <w:szCs w:val="28"/>
        </w:rPr>
        <w:t>juntamente con las Diputadas y e</w:t>
      </w:r>
      <w:r>
        <w:rPr>
          <w:color w:val="000000"/>
          <w:sz w:val="28"/>
          <w:szCs w:val="28"/>
        </w:rPr>
        <w:t>l Dipu</w:t>
      </w:r>
      <w:r w:rsidR="005F2680">
        <w:rPr>
          <w:color w:val="000000"/>
          <w:sz w:val="28"/>
          <w:szCs w:val="28"/>
        </w:rPr>
        <w:t>tado del Grupo Parlamentario de</w:t>
      </w:r>
      <w:r>
        <w:rPr>
          <w:color w:val="000000"/>
          <w:sz w:val="28"/>
          <w:szCs w:val="28"/>
        </w:rPr>
        <w:t xml:space="preserve"> morena de la LXII Legislatura del Honorable Congreso del Estado Independiente, Libre y Soberano de Coahuila de Zaragoza, con fundamento en el artículo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 por el que se modifican diversas disposiciones de la Ley de Entrega-Recepción del Estado y Municipios de Coahuila de Zaragoza, al tenor de la siguiente:</w:t>
      </w: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Exposición de Motivos.</w:t>
      </w: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04CE">
        <w:rPr>
          <w:rFonts w:ascii="Arial" w:hAnsi="Arial" w:cs="Arial"/>
          <w:sz w:val="28"/>
          <w:szCs w:val="28"/>
        </w:rPr>
        <w:t>La Reformas electorales -constitucional y legal-  de</w:t>
      </w:r>
      <w:r w:rsidR="005F2680">
        <w:rPr>
          <w:rFonts w:ascii="Arial" w:hAnsi="Arial" w:cs="Arial"/>
          <w:sz w:val="28"/>
          <w:szCs w:val="28"/>
        </w:rPr>
        <w:t>l</w:t>
      </w:r>
      <w:r w:rsidRPr="007804CE">
        <w:rPr>
          <w:rFonts w:ascii="Arial" w:hAnsi="Arial" w:cs="Arial"/>
          <w:sz w:val="28"/>
          <w:szCs w:val="28"/>
        </w:rPr>
        <w:t xml:space="preserve"> </w:t>
      </w:r>
      <w:r w:rsidR="005F2680">
        <w:rPr>
          <w:rFonts w:ascii="Arial" w:hAnsi="Arial" w:cs="Arial"/>
          <w:sz w:val="28"/>
          <w:szCs w:val="28"/>
        </w:rPr>
        <w:t xml:space="preserve">año </w:t>
      </w:r>
      <w:r w:rsidRPr="007804CE">
        <w:rPr>
          <w:rFonts w:ascii="Arial" w:hAnsi="Arial" w:cs="Arial"/>
          <w:sz w:val="28"/>
          <w:szCs w:val="28"/>
        </w:rPr>
        <w:t xml:space="preserve">2014 contemplan una reestructuración del sistema electoral mexicano, transformando la relación entre el Instituto Nacional Electoral (INE) y los Organismos Públicos Locales Electorales (OPLES). </w:t>
      </w: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04CE">
        <w:rPr>
          <w:rFonts w:ascii="Arial" w:hAnsi="Arial" w:cs="Arial"/>
          <w:sz w:val="28"/>
          <w:szCs w:val="28"/>
        </w:rPr>
        <w:lastRenderedPageBreak/>
        <w:t xml:space="preserve">En este rediseño institucional se observa un cambio en el ejercicio de competencias, así como en las relaciones de coordinación en los actos vinculados a los procesos electorales. </w:t>
      </w: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04CE">
        <w:rPr>
          <w:rFonts w:ascii="Arial" w:hAnsi="Arial" w:cs="Arial"/>
          <w:sz w:val="28"/>
          <w:szCs w:val="28"/>
        </w:rPr>
        <w:t xml:space="preserve">Aunque, en un </w:t>
      </w:r>
      <w:proofErr w:type="gramStart"/>
      <w:r w:rsidRPr="007804CE">
        <w:rPr>
          <w:rFonts w:ascii="Arial" w:hAnsi="Arial" w:cs="Arial"/>
          <w:sz w:val="28"/>
          <w:szCs w:val="28"/>
        </w:rPr>
        <w:t>inicio,  se</w:t>
      </w:r>
      <w:proofErr w:type="gramEnd"/>
      <w:r w:rsidRPr="007804CE">
        <w:rPr>
          <w:rFonts w:ascii="Arial" w:hAnsi="Arial" w:cs="Arial"/>
          <w:sz w:val="28"/>
          <w:szCs w:val="28"/>
        </w:rPr>
        <w:t xml:space="preserve"> percibía la intención de integrar  un órgano electoral único, finalmente se fortalecieron las capacidades del anterior Instituto Federal Electoral respecto a los  órganos locales, ahora denominados: Organismos Públicos Electorales Locales.</w:t>
      </w: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04CE">
        <w:rPr>
          <w:rFonts w:ascii="Arial" w:hAnsi="Arial" w:cs="Arial"/>
          <w:sz w:val="28"/>
          <w:szCs w:val="28"/>
        </w:rPr>
        <w:t xml:space="preserve">En concreto, la reforma establece para el INE en su el Artículo 41, V, Apartado B, competencias en: </w:t>
      </w: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04CE">
        <w:rPr>
          <w:rFonts w:ascii="Arial" w:hAnsi="Arial" w:cs="Arial"/>
          <w:sz w:val="28"/>
          <w:szCs w:val="28"/>
        </w:rPr>
        <w:t xml:space="preserve">a)  los procesos electorales federales y locales y </w:t>
      </w: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04CE">
        <w:rPr>
          <w:rFonts w:ascii="Arial" w:hAnsi="Arial" w:cs="Arial"/>
          <w:sz w:val="28"/>
          <w:szCs w:val="28"/>
        </w:rPr>
        <w:t xml:space="preserve">b) para los procesos electorales federales. Asimismo, se le otorgan facultades de Atracción, Asunción y Delegación. </w:t>
      </w:r>
    </w:p>
    <w:p w:rsidR="005F2680" w:rsidRDefault="005F2680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7804CE" w:rsidRP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04CE">
        <w:rPr>
          <w:rFonts w:ascii="Arial" w:hAnsi="Arial" w:cs="Arial"/>
          <w:sz w:val="28"/>
          <w:szCs w:val="28"/>
        </w:rPr>
        <w:t>Respecto de los</w:t>
      </w:r>
      <w:r w:rsidR="005F2680">
        <w:rPr>
          <w:rFonts w:ascii="Arial" w:hAnsi="Arial" w:cs="Arial"/>
          <w:sz w:val="28"/>
          <w:szCs w:val="28"/>
        </w:rPr>
        <w:t xml:space="preserve"> organismos electorales locales comúnmente llamados</w:t>
      </w:r>
      <w:r w:rsidRPr="007804CE">
        <w:rPr>
          <w:rFonts w:ascii="Arial" w:hAnsi="Arial" w:cs="Arial"/>
          <w:sz w:val="28"/>
          <w:szCs w:val="28"/>
        </w:rPr>
        <w:t xml:space="preserve"> OPLES, en el mismo artículo </w:t>
      </w:r>
      <w:r w:rsidR="005F2680">
        <w:rPr>
          <w:rFonts w:ascii="Arial" w:hAnsi="Arial" w:cs="Arial"/>
          <w:sz w:val="28"/>
          <w:szCs w:val="28"/>
        </w:rPr>
        <w:t xml:space="preserve">41 </w:t>
      </w:r>
      <w:r w:rsidRPr="007804CE">
        <w:rPr>
          <w:rFonts w:ascii="Arial" w:hAnsi="Arial" w:cs="Arial"/>
          <w:sz w:val="28"/>
          <w:szCs w:val="28"/>
        </w:rPr>
        <w:t>(Aparatado C), </w:t>
      </w:r>
      <w:r w:rsidR="005F2680">
        <w:rPr>
          <w:rFonts w:ascii="Arial" w:hAnsi="Arial" w:cs="Arial"/>
          <w:sz w:val="28"/>
          <w:szCs w:val="28"/>
        </w:rPr>
        <w:t xml:space="preserve">de describen </w:t>
      </w:r>
      <w:r w:rsidRPr="007804CE">
        <w:rPr>
          <w:rFonts w:ascii="Arial" w:hAnsi="Arial" w:cs="Arial"/>
          <w:sz w:val="28"/>
          <w:szCs w:val="28"/>
        </w:rPr>
        <w:t>las funciones que desarrollan</w:t>
      </w:r>
      <w:r w:rsidR="005F2680">
        <w:rPr>
          <w:rFonts w:ascii="Arial" w:hAnsi="Arial" w:cs="Arial"/>
          <w:sz w:val="28"/>
          <w:szCs w:val="28"/>
        </w:rPr>
        <w:t xml:space="preserve"> los mismos</w:t>
      </w:r>
      <w:r w:rsidRPr="007804CE">
        <w:rPr>
          <w:rFonts w:ascii="Arial" w:hAnsi="Arial" w:cs="Arial"/>
          <w:sz w:val="28"/>
          <w:szCs w:val="28"/>
        </w:rPr>
        <w:t xml:space="preserve">.  En ese sentido, se les permite actuar en materias de índoles locales y no reservadas al </w:t>
      </w:r>
      <w:proofErr w:type="gramStart"/>
      <w:r w:rsidRPr="007804CE">
        <w:rPr>
          <w:rFonts w:ascii="Arial" w:hAnsi="Arial" w:cs="Arial"/>
          <w:sz w:val="28"/>
          <w:szCs w:val="28"/>
        </w:rPr>
        <w:t>INE</w:t>
      </w:r>
      <w:proofErr w:type="gramEnd"/>
      <w:r w:rsidRPr="007804CE">
        <w:rPr>
          <w:rFonts w:ascii="Arial" w:hAnsi="Arial" w:cs="Arial"/>
          <w:sz w:val="28"/>
          <w:szCs w:val="28"/>
        </w:rPr>
        <w:t xml:space="preserve"> pero a su vez, se les restringe mediante lineamientos en materias como ubicación de casillas, impresión de materiales u observación electoral.</w:t>
      </w:r>
    </w:p>
    <w:p w:rsidR="007804CE" w:rsidRDefault="007804CE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7804CE">
        <w:rPr>
          <w:rFonts w:ascii="Arial" w:hAnsi="Arial" w:cs="Arial"/>
          <w:sz w:val="28"/>
          <w:szCs w:val="28"/>
        </w:rPr>
        <w:t>Además</w:t>
      </w:r>
      <w:proofErr w:type="gramEnd"/>
      <w:r w:rsidRPr="007804CE">
        <w:rPr>
          <w:rFonts w:ascii="Arial" w:hAnsi="Arial" w:cs="Arial"/>
          <w:sz w:val="28"/>
          <w:szCs w:val="28"/>
        </w:rPr>
        <w:t xml:space="preserve"> existen otras competencias del INE en materia de: procedimientos sancionadores, distribución de tiempos de radio y televisión, fiscalización, regulación del Servicio Profesional Electoral, nombramiento de consejeros </w:t>
      </w:r>
      <w:r w:rsidRPr="007804CE">
        <w:rPr>
          <w:rFonts w:ascii="Arial" w:hAnsi="Arial" w:cs="Arial"/>
          <w:sz w:val="28"/>
          <w:szCs w:val="28"/>
        </w:rPr>
        <w:lastRenderedPageBreak/>
        <w:t>locales, consultas populares, la organización por convenio de procesos electorales locales y elecciones de dirigentes partidistas. </w:t>
      </w:r>
    </w:p>
    <w:p w:rsidR="007804CE" w:rsidRDefault="005F2680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Ante esta denominada gran reforma electoral del año 2014, la anterior autoridad local en materia electoral </w:t>
      </w:r>
      <w:r w:rsidR="007804CE">
        <w:rPr>
          <w:rFonts w:ascii="Arial" w:hAnsi="Arial" w:cs="Arial"/>
          <w:sz w:val="28"/>
          <w:szCs w:val="28"/>
        </w:rPr>
        <w:t xml:space="preserve">denomina Instituto Estatal Electoral y de Participación Ciudadana de Coahuila, desaparece para dar nacimiento al Instituto Electoral de Coahuila, por lo que ahora es la que organiza junto con el Instituto Nacional Electoral </w:t>
      </w:r>
      <w:proofErr w:type="gramStart"/>
      <w:r w:rsidR="007804CE">
        <w:rPr>
          <w:rFonts w:ascii="Arial" w:hAnsi="Arial" w:cs="Arial"/>
          <w:sz w:val="28"/>
          <w:szCs w:val="28"/>
        </w:rPr>
        <w:t xml:space="preserve">las  </w:t>
      </w:r>
      <w:r>
        <w:rPr>
          <w:rFonts w:ascii="Arial" w:hAnsi="Arial" w:cs="Arial"/>
          <w:sz w:val="28"/>
          <w:szCs w:val="28"/>
        </w:rPr>
        <w:t>elecciones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804CE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nuestro E</w:t>
      </w:r>
      <w:r w:rsidR="007804CE">
        <w:rPr>
          <w:rFonts w:ascii="Arial" w:hAnsi="Arial" w:cs="Arial"/>
          <w:sz w:val="28"/>
          <w:szCs w:val="28"/>
        </w:rPr>
        <w:t>stado.</w:t>
      </w:r>
    </w:p>
    <w:p w:rsidR="007804CE" w:rsidRPr="007804CE" w:rsidRDefault="005F2680" w:rsidP="007804CE">
      <w:pPr>
        <w:pStyle w:val="NormalWeb"/>
        <w:shd w:val="clear" w:color="auto" w:fill="FFFFFF"/>
        <w:spacing w:before="0" w:beforeAutospacing="0" w:after="157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otro lado, existe el tribunal Electoral de Coahuila el cual se encarga de resolver las controversias que en materia electoral se presenten en los comicios electorales, autoridad que a su vez notifica al Instituto Electoral de Coahuila (</w:t>
      </w:r>
      <w:r w:rsidR="007804CE">
        <w:rPr>
          <w:rFonts w:ascii="Arial" w:hAnsi="Arial" w:cs="Arial"/>
          <w:sz w:val="28"/>
          <w:szCs w:val="28"/>
        </w:rPr>
        <w:t>IEC</w:t>
      </w:r>
      <w:r>
        <w:rPr>
          <w:rFonts w:ascii="Arial" w:hAnsi="Arial" w:cs="Arial"/>
          <w:sz w:val="28"/>
          <w:szCs w:val="28"/>
        </w:rPr>
        <w:t>)</w:t>
      </w:r>
      <w:r w:rsidR="007804CE">
        <w:rPr>
          <w:rFonts w:ascii="Arial" w:hAnsi="Arial" w:cs="Arial"/>
          <w:sz w:val="28"/>
          <w:szCs w:val="28"/>
        </w:rPr>
        <w:t xml:space="preserve"> sus resoluciones para que sean acatadas.</w:t>
      </w:r>
    </w:p>
    <w:p w:rsidR="007804CE" w:rsidRDefault="005F268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 día de hoy, presentamos una iniciativa de ley con el fin de homologar o empatar los conceptos que en materia electoral han ido evolucionando, es de</w:t>
      </w:r>
      <w:r w:rsidR="004261FB">
        <w:rPr>
          <w:color w:val="000000"/>
          <w:sz w:val="28"/>
          <w:szCs w:val="28"/>
        </w:rPr>
        <w:t>cir en la actual ley de Entrega-</w:t>
      </w:r>
      <w:r>
        <w:rPr>
          <w:color w:val="000000"/>
          <w:sz w:val="28"/>
          <w:szCs w:val="28"/>
        </w:rPr>
        <w:t>Rec</w:t>
      </w:r>
      <w:r w:rsidR="004261FB">
        <w:rPr>
          <w:color w:val="000000"/>
          <w:sz w:val="28"/>
          <w:szCs w:val="28"/>
        </w:rPr>
        <w:t>ep</w:t>
      </w:r>
      <w:r>
        <w:rPr>
          <w:color w:val="000000"/>
          <w:sz w:val="28"/>
          <w:szCs w:val="28"/>
        </w:rPr>
        <w:t>ción</w:t>
      </w:r>
      <w:r w:rsidR="004261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para el Estado y Municipios de</w:t>
      </w:r>
      <w:r w:rsidR="004261FB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 xml:space="preserve"> </w:t>
      </w:r>
      <w:r w:rsidR="004261FB">
        <w:rPr>
          <w:color w:val="000000"/>
          <w:sz w:val="28"/>
          <w:szCs w:val="28"/>
        </w:rPr>
        <w:t xml:space="preserve">Estado de Coahuila de Zaragoza hace referencia al </w:t>
      </w:r>
      <w:r w:rsidR="004261FB">
        <w:rPr>
          <w:sz w:val="28"/>
          <w:szCs w:val="28"/>
        </w:rPr>
        <w:t xml:space="preserve">Instituto Estatal Electoral y de Participación Ciudadana de Coahuila, por lo que consideramos viable se actualice ese concepto por el de Instituto Electoral de Coahuila </w:t>
      </w:r>
      <w:r>
        <w:rPr>
          <w:color w:val="000000"/>
          <w:sz w:val="28"/>
          <w:szCs w:val="28"/>
        </w:rPr>
        <w:t xml:space="preserve"> </w:t>
      </w:r>
    </w:p>
    <w:p w:rsidR="005F2680" w:rsidRDefault="005F268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 virtud de lo anterior, es que se somete a consideración de este Honorable Pleno del Congreso del Estado, para su revisión, análisis y, en su caso, aprobación, la siguiente:</w:t>
      </w: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Iniciativa de Decreto </w:t>
      </w:r>
      <w:r w:rsidR="00EA3452">
        <w:rPr>
          <w:color w:val="000000"/>
          <w:sz w:val="28"/>
          <w:szCs w:val="28"/>
        </w:rPr>
        <w:t>por el que se modifica el párrafo</w:t>
      </w:r>
      <w:r w:rsidR="006B5291">
        <w:rPr>
          <w:color w:val="000000"/>
          <w:sz w:val="28"/>
          <w:szCs w:val="28"/>
        </w:rPr>
        <w:t xml:space="preserve"> segundo del </w:t>
      </w:r>
      <w:r w:rsidR="00EA345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de la Ley de Entrega-Recepción del Estado y Municipios de Coahuila de Zaragoza, para quedar como sigue: </w:t>
      </w: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7A53A4" w:rsidRPr="00732761" w:rsidRDefault="007A53A4" w:rsidP="00732761">
      <w:pPr>
        <w:spacing w:line="360" w:lineRule="auto"/>
        <w:rPr>
          <w:sz w:val="28"/>
          <w:szCs w:val="28"/>
        </w:rPr>
      </w:pPr>
      <w:r w:rsidRPr="00732761">
        <w:rPr>
          <w:b/>
          <w:bCs/>
          <w:sz w:val="28"/>
          <w:szCs w:val="28"/>
        </w:rPr>
        <w:t xml:space="preserve">ARTÍCULO 2°. CATÁLOGO DE DENOMINACIONES. </w:t>
      </w:r>
      <w:r w:rsidRPr="00732761">
        <w:rPr>
          <w:sz w:val="28"/>
          <w:szCs w:val="28"/>
        </w:rPr>
        <w:t>Para los efectos de esta ley se entiende por:</w:t>
      </w:r>
    </w:p>
    <w:p w:rsidR="007A53A4" w:rsidRDefault="007A53A4" w:rsidP="00EA34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291376" w:rsidRDefault="00732761" w:rsidP="00EA34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a la III……….</w:t>
      </w:r>
    </w:p>
    <w:p w:rsidR="00732761" w:rsidRDefault="00732761" w:rsidP="00EA345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732761" w:rsidRPr="00732761" w:rsidRDefault="00732761" w:rsidP="00732761">
      <w:pPr>
        <w:spacing w:line="360" w:lineRule="auto"/>
        <w:ind w:left="567" w:hanging="567"/>
        <w:rPr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>IV</w:t>
      </w:r>
      <w:r w:rsidRPr="00732761">
        <w:rPr>
          <w:b/>
          <w:color w:val="000000"/>
          <w:sz w:val="28"/>
          <w:szCs w:val="28"/>
        </w:rPr>
        <w:t xml:space="preserve">. </w:t>
      </w:r>
      <w:r w:rsidRPr="00732761">
        <w:rPr>
          <w:b/>
          <w:bCs/>
          <w:sz w:val="28"/>
          <w:szCs w:val="28"/>
        </w:rPr>
        <w:t xml:space="preserve">Las Entidades. </w:t>
      </w:r>
      <w:r w:rsidRPr="00732761">
        <w:rPr>
          <w:sz w:val="28"/>
          <w:szCs w:val="28"/>
        </w:rPr>
        <w:t>Los organismos públicos descentralizados estatales o municipales, las empresas de participación estatal o municipal mayoritarias, las sociedades o asociaciones asimiladas a éstos, los fideicomisos públicos estatales o municipales y los organismos públicos que con ese carácter sean creados respectivamente conforme a la Ley Orgánica de la Administración Pública del Estado, el Código Municipal del Estado y la Ley para el control por parte del Gobierno del Estado de los Organismos Descentralizados y Empresas de Participación Estatal.</w:t>
      </w:r>
    </w:p>
    <w:p w:rsidR="00732761" w:rsidRPr="00732761" w:rsidRDefault="00732761" w:rsidP="00732761">
      <w:pPr>
        <w:spacing w:line="360" w:lineRule="auto"/>
        <w:ind w:left="567"/>
        <w:rPr>
          <w:sz w:val="28"/>
          <w:szCs w:val="28"/>
        </w:rPr>
      </w:pPr>
    </w:p>
    <w:p w:rsidR="00732761" w:rsidRDefault="00732761" w:rsidP="00732761">
      <w:pPr>
        <w:spacing w:line="360" w:lineRule="auto"/>
        <w:ind w:left="567"/>
        <w:rPr>
          <w:sz w:val="28"/>
          <w:szCs w:val="28"/>
        </w:rPr>
      </w:pPr>
      <w:r w:rsidRPr="00732761">
        <w:rPr>
          <w:sz w:val="28"/>
          <w:szCs w:val="28"/>
        </w:rPr>
        <w:t xml:space="preserve">Se consideran entidades para los efectos de la presente ley, los organismos constitucionales autónomos tales como el </w:t>
      </w:r>
      <w:r w:rsidRPr="006B5291">
        <w:rPr>
          <w:b/>
          <w:sz w:val="28"/>
          <w:szCs w:val="28"/>
        </w:rPr>
        <w:t>Instituto Electoral de Coahuila</w:t>
      </w:r>
      <w:r w:rsidRPr="00732761">
        <w:rPr>
          <w:sz w:val="28"/>
          <w:szCs w:val="28"/>
        </w:rPr>
        <w:t xml:space="preserve">; el Instituto Coahuilense de Acceso a la Información, la Comisión de Derechos Humanos del Estado de Coahuila, las universidades autónomas y demás instituciones a las que la Constitución Política del Estado de Coahuila les confiera autonomía.      </w:t>
      </w:r>
    </w:p>
    <w:p w:rsidR="006B5291" w:rsidRDefault="006B5291" w:rsidP="00732761">
      <w:pPr>
        <w:spacing w:line="360" w:lineRule="auto"/>
        <w:ind w:left="567"/>
        <w:rPr>
          <w:sz w:val="28"/>
          <w:szCs w:val="28"/>
        </w:rPr>
      </w:pPr>
    </w:p>
    <w:p w:rsidR="006B5291" w:rsidRPr="006B5291" w:rsidRDefault="006B5291" w:rsidP="00732761">
      <w:pPr>
        <w:spacing w:line="360" w:lineRule="auto"/>
        <w:ind w:left="567"/>
        <w:rPr>
          <w:b/>
          <w:sz w:val="28"/>
          <w:szCs w:val="28"/>
        </w:rPr>
      </w:pPr>
      <w:r w:rsidRPr="006B5291">
        <w:rPr>
          <w:b/>
          <w:sz w:val="28"/>
          <w:szCs w:val="28"/>
        </w:rPr>
        <w:t>V a la XII……….</w:t>
      </w: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ARTÍCULO TRANSITORIO</w:t>
      </w: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Único.-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Las presentes modificaciones a la Ley de Entrega-Recepción del Estado y Municipios de Coahuila de Zaragoza, entrarán en vigor al día siguiente de su publicación en el Periódico Oficial del Gobierno del Estado.</w:t>
      </w: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72B6F" w:rsidRPr="00C24D4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C24D4F">
        <w:rPr>
          <w:b/>
          <w:color w:val="000000"/>
          <w:sz w:val="26"/>
          <w:szCs w:val="26"/>
        </w:rPr>
        <w:t>Atentamente</w:t>
      </w:r>
    </w:p>
    <w:p w:rsidR="00672B6F" w:rsidRPr="00C24D4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C24D4F">
        <w:rPr>
          <w:b/>
          <w:color w:val="000000"/>
          <w:sz w:val="26"/>
          <w:szCs w:val="26"/>
        </w:rPr>
        <w:t xml:space="preserve">Saltillo, Coahuila </w:t>
      </w:r>
      <w:r w:rsidR="00671A7C" w:rsidRPr="00C24D4F">
        <w:rPr>
          <w:b/>
          <w:color w:val="000000"/>
          <w:sz w:val="26"/>
          <w:szCs w:val="26"/>
        </w:rPr>
        <w:t xml:space="preserve">a </w:t>
      </w:r>
      <w:proofErr w:type="gramStart"/>
      <w:r w:rsidR="00671A7C" w:rsidRPr="00C24D4F">
        <w:rPr>
          <w:b/>
          <w:color w:val="000000"/>
          <w:sz w:val="26"/>
          <w:szCs w:val="26"/>
        </w:rPr>
        <w:t>Noviembre</w:t>
      </w:r>
      <w:proofErr w:type="gramEnd"/>
      <w:r w:rsidR="00671A7C" w:rsidRPr="00C24D4F">
        <w:rPr>
          <w:b/>
          <w:color w:val="000000"/>
          <w:sz w:val="26"/>
          <w:szCs w:val="26"/>
        </w:rPr>
        <w:t xml:space="preserve"> 9</w:t>
      </w:r>
      <w:r w:rsidRPr="00C24D4F">
        <w:rPr>
          <w:b/>
          <w:color w:val="000000"/>
          <w:sz w:val="26"/>
          <w:szCs w:val="26"/>
        </w:rPr>
        <w:t xml:space="preserve"> de 2021</w:t>
      </w:r>
    </w:p>
    <w:p w:rsidR="00672B6F" w:rsidRPr="00C24D4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C24D4F">
        <w:rPr>
          <w:b/>
          <w:color w:val="000000"/>
          <w:sz w:val="26"/>
          <w:szCs w:val="26"/>
        </w:rPr>
        <w:t>Grupo Parlamentario de morena.</w:t>
      </w: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24D4F" w:rsidRDefault="00C24D4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24D4F" w:rsidRDefault="00C24D4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Dip</w:t>
      </w:r>
      <w:proofErr w:type="spellEnd"/>
      <w:r>
        <w:rPr>
          <w:b/>
          <w:color w:val="000000"/>
          <w:sz w:val="28"/>
          <w:szCs w:val="28"/>
        </w:rPr>
        <w:t xml:space="preserve">. Teresa de Jesús </w:t>
      </w:r>
      <w:proofErr w:type="spellStart"/>
      <w:r>
        <w:rPr>
          <w:b/>
          <w:color w:val="000000"/>
          <w:sz w:val="28"/>
          <w:szCs w:val="28"/>
        </w:rPr>
        <w:t>Meráz</w:t>
      </w:r>
      <w:proofErr w:type="spellEnd"/>
      <w:r>
        <w:rPr>
          <w:b/>
          <w:color w:val="000000"/>
          <w:sz w:val="28"/>
          <w:szCs w:val="28"/>
        </w:rPr>
        <w:t xml:space="preserve"> García</w:t>
      </w: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24D4F" w:rsidRDefault="00C24D4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C24D4F" w:rsidRDefault="00C24D4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Dip</w:t>
      </w:r>
      <w:proofErr w:type="spellEnd"/>
      <w:r>
        <w:rPr>
          <w:b/>
          <w:color w:val="000000"/>
          <w:sz w:val="28"/>
          <w:szCs w:val="28"/>
        </w:rPr>
        <w:t xml:space="preserve">. Lizbeth </w:t>
      </w:r>
      <w:proofErr w:type="spellStart"/>
      <w:r>
        <w:rPr>
          <w:b/>
          <w:color w:val="000000"/>
          <w:sz w:val="28"/>
          <w:szCs w:val="28"/>
        </w:rPr>
        <w:t>Ogazón</w:t>
      </w:r>
      <w:proofErr w:type="spellEnd"/>
      <w:r>
        <w:rPr>
          <w:b/>
          <w:color w:val="000000"/>
          <w:sz w:val="28"/>
          <w:szCs w:val="28"/>
        </w:rPr>
        <w:t xml:space="preserve"> Nava</w:t>
      </w: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672B6F" w:rsidRDefault="00672B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Dip</w:t>
      </w:r>
      <w:proofErr w:type="spellEnd"/>
      <w:r>
        <w:rPr>
          <w:b/>
          <w:color w:val="000000"/>
          <w:sz w:val="28"/>
          <w:szCs w:val="28"/>
        </w:rPr>
        <w:t>. Laura Francisca Aguilar Tabares</w:t>
      </w:r>
    </w:p>
    <w:p w:rsidR="00C24D4F" w:rsidRDefault="00C24D4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672B6F" w:rsidRDefault="00AC49B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Dip</w:t>
      </w:r>
      <w:proofErr w:type="spellEnd"/>
      <w:r>
        <w:rPr>
          <w:b/>
          <w:color w:val="000000"/>
          <w:sz w:val="28"/>
          <w:szCs w:val="28"/>
        </w:rPr>
        <w:t>. Francisco Javier Cortes Gómez</w:t>
      </w:r>
    </w:p>
    <w:sectPr w:rsidR="00672B6F" w:rsidSect="005A6085">
      <w:headerReference w:type="default" r:id="rId8"/>
      <w:footerReference w:type="default" r:id="rId9"/>
      <w:pgSz w:w="12242" w:h="15842"/>
      <w:pgMar w:top="1418" w:right="1418" w:bottom="1418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20" w:rsidRDefault="00FD4620" w:rsidP="00672B6F">
      <w:r>
        <w:separator/>
      </w:r>
    </w:p>
  </w:endnote>
  <w:endnote w:type="continuationSeparator" w:id="0">
    <w:p w:rsidR="00FD4620" w:rsidRDefault="00FD4620" w:rsidP="0067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6F" w:rsidRDefault="00B8396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AC49B9">
      <w:rPr>
        <w:color w:val="000000"/>
      </w:rPr>
      <w:instrText>PAGE</w:instrText>
    </w:r>
    <w:r>
      <w:rPr>
        <w:color w:val="000000"/>
      </w:rPr>
      <w:fldChar w:fldCharType="separate"/>
    </w:r>
    <w:r w:rsidR="003E340D">
      <w:rPr>
        <w:noProof/>
        <w:color w:val="000000"/>
      </w:rPr>
      <w:t>6</w:t>
    </w:r>
    <w:r>
      <w:rPr>
        <w:color w:val="000000"/>
      </w:rPr>
      <w:fldChar w:fldCharType="end"/>
    </w:r>
  </w:p>
  <w:p w:rsidR="00672B6F" w:rsidRDefault="00672B6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20" w:rsidRDefault="00FD4620" w:rsidP="00672B6F">
      <w:r>
        <w:separator/>
      </w:r>
    </w:p>
  </w:footnote>
  <w:footnote w:type="continuationSeparator" w:id="0">
    <w:p w:rsidR="00FD4620" w:rsidRDefault="00FD4620" w:rsidP="0067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11057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541"/>
      <w:gridCol w:w="8665"/>
      <w:gridCol w:w="851"/>
    </w:tblGrid>
    <w:tr w:rsidR="00672B6F">
      <w:trPr>
        <w:cantSplit/>
        <w:tblHeader/>
        <w:jc w:val="center"/>
      </w:trPr>
      <w:tc>
        <w:tcPr>
          <w:tcW w:w="1541" w:type="dxa"/>
        </w:tcPr>
        <w:p w:rsidR="00672B6F" w:rsidRDefault="00AC49B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-41273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0"/>
                <wp:wrapNone/>
                <wp:docPr id="1" name="image1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72B6F" w:rsidRDefault="00672B6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  <w:p w:rsidR="00672B6F" w:rsidRDefault="00672B6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</w:tc>
      <w:tc>
        <w:tcPr>
          <w:tcW w:w="8665" w:type="dxa"/>
        </w:tcPr>
        <w:p w:rsidR="00672B6F" w:rsidRDefault="00AC49B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4654909</wp:posOffset>
                </wp:positionH>
                <wp:positionV relativeFrom="paragraph">
                  <wp:posOffset>-10186</wp:posOffset>
                </wp:positionV>
                <wp:extent cx="1149792" cy="1144988"/>
                <wp:effectExtent l="0" t="0" r="0" b="0"/>
                <wp:wrapNone/>
                <wp:docPr id="2" name="image2.png" descr="LXI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XII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792" cy="11449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72B6F" w:rsidRDefault="00AC49B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32"/>
              <w:szCs w:val="32"/>
            </w:rPr>
            <w:t xml:space="preserve">Estado Independiente, Libre y Soberano </w:t>
          </w:r>
        </w:p>
        <w:p w:rsidR="00672B6F" w:rsidRDefault="00AC49B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32"/>
              <w:szCs w:val="32"/>
            </w:rPr>
            <w:t>de Coahuila de Zaragoza</w:t>
          </w:r>
        </w:p>
        <w:p w:rsidR="00672B6F" w:rsidRDefault="00672B6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color w:val="000000"/>
            </w:rPr>
          </w:pPr>
        </w:p>
        <w:p w:rsidR="00672B6F" w:rsidRDefault="00AC49B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28"/>
              <w:szCs w:val="28"/>
            </w:rPr>
            <w:t>Poder Legislativo</w:t>
          </w:r>
        </w:p>
        <w:p w:rsidR="00672B6F" w:rsidRDefault="00672B6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:rsidR="00672B6F" w:rsidRDefault="00AC49B9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Arial" w:eastAsia="Arial" w:hAnsi="Arial" w:cs="Arial"/>
              <w:color w:val="000000"/>
              <w:sz w:val="12"/>
              <w:szCs w:val="12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672B6F" w:rsidRDefault="00672B6F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</w:tc>
    </w:tr>
  </w:tbl>
  <w:p w:rsidR="00672B6F" w:rsidRDefault="00672B6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46A6"/>
    <w:multiLevelType w:val="hybridMultilevel"/>
    <w:tmpl w:val="25769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F"/>
    <w:rsid w:val="001F2621"/>
    <w:rsid w:val="0028322E"/>
    <w:rsid w:val="00291376"/>
    <w:rsid w:val="003403F6"/>
    <w:rsid w:val="00371872"/>
    <w:rsid w:val="003E340D"/>
    <w:rsid w:val="004261FB"/>
    <w:rsid w:val="00580FAC"/>
    <w:rsid w:val="005A6085"/>
    <w:rsid w:val="005F2680"/>
    <w:rsid w:val="00603363"/>
    <w:rsid w:val="00671A7C"/>
    <w:rsid w:val="00672B6F"/>
    <w:rsid w:val="006B5291"/>
    <w:rsid w:val="007315FC"/>
    <w:rsid w:val="00732761"/>
    <w:rsid w:val="007804CE"/>
    <w:rsid w:val="007A53A4"/>
    <w:rsid w:val="009B33E1"/>
    <w:rsid w:val="009B6ADC"/>
    <w:rsid w:val="00AC49B9"/>
    <w:rsid w:val="00B644A6"/>
    <w:rsid w:val="00B8396B"/>
    <w:rsid w:val="00C05AED"/>
    <w:rsid w:val="00C16E83"/>
    <w:rsid w:val="00C24D4F"/>
    <w:rsid w:val="00C53123"/>
    <w:rsid w:val="00C64859"/>
    <w:rsid w:val="00CC57FB"/>
    <w:rsid w:val="00CD4A97"/>
    <w:rsid w:val="00D15FB4"/>
    <w:rsid w:val="00D16CB8"/>
    <w:rsid w:val="00E165D0"/>
    <w:rsid w:val="00E84409"/>
    <w:rsid w:val="00EA3452"/>
    <w:rsid w:val="00EE1546"/>
    <w:rsid w:val="00FB07CE"/>
    <w:rsid w:val="00FD4620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FF59"/>
  <w15:docId w15:val="{75705968-2A8C-4ACF-B035-467E201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7FB"/>
  </w:style>
  <w:style w:type="paragraph" w:styleId="Ttulo1">
    <w:name w:val="heading 1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72B6F"/>
  </w:style>
  <w:style w:type="table" w:customStyle="1" w:styleId="TableNormal">
    <w:name w:val="Table Normal"/>
    <w:rsid w:val="00672B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672B6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B6F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804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A6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6085"/>
  </w:style>
  <w:style w:type="paragraph" w:styleId="Piedepgina">
    <w:name w:val="footer"/>
    <w:basedOn w:val="Normal"/>
    <w:link w:val="PiedepginaCar"/>
    <w:uiPriority w:val="99"/>
    <w:unhideWhenUsed/>
    <w:rsid w:val="005A60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4405-85BB-4A01-B297-672E061E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Juan Lumbreras</cp:lastModifiedBy>
  <cp:revision>3</cp:revision>
  <dcterms:created xsi:type="dcterms:W3CDTF">2021-11-09T17:15:00Z</dcterms:created>
  <dcterms:modified xsi:type="dcterms:W3CDTF">2021-11-09T17:15:00Z</dcterms:modified>
</cp:coreProperties>
</file>