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b/>
          <w:color w:val="000000"/>
          <w:sz w:val="26"/>
          <w:szCs w:val="26"/>
          <w:lang w:eastAsia="es-ES"/>
        </w:rPr>
      </w:pPr>
      <w:r w:rsidRPr="00836FB8">
        <w:rPr>
          <w:rFonts w:ascii="Arial Narrow" w:eastAsia="Times New Roman" w:hAnsi="Arial Narrow" w:cs="Times New Roman"/>
          <w:color w:val="000000"/>
          <w:sz w:val="26"/>
          <w:szCs w:val="26"/>
          <w:lang w:eastAsia="es-ES"/>
        </w:rPr>
        <w:t xml:space="preserve">Iniciativa con Proyecto de </w:t>
      </w:r>
      <w:bookmarkStart w:id="0" w:name="_GoBack"/>
      <w:bookmarkEnd w:id="0"/>
      <w:r w:rsidRPr="00836FB8">
        <w:rPr>
          <w:rFonts w:ascii="Arial Narrow" w:eastAsia="Times New Roman" w:hAnsi="Arial Narrow" w:cs="Times New Roman"/>
          <w:color w:val="000000"/>
          <w:sz w:val="26"/>
          <w:szCs w:val="26"/>
          <w:lang w:eastAsia="es-ES"/>
        </w:rPr>
        <w:t xml:space="preserve">Decreto por el que se adiciona el capítulo IX y el artículo 70 bis 2 a la </w:t>
      </w:r>
      <w:r w:rsidRPr="00836FB8">
        <w:rPr>
          <w:rFonts w:ascii="Arial Narrow" w:eastAsia="Times New Roman" w:hAnsi="Arial Narrow" w:cs="Times New Roman"/>
          <w:b/>
          <w:color w:val="000000"/>
          <w:sz w:val="26"/>
          <w:szCs w:val="26"/>
          <w:lang w:eastAsia="es-ES"/>
        </w:rPr>
        <w:t>Ley Estatal de Salud</w:t>
      </w:r>
      <w:r w:rsidRPr="00836FB8">
        <w:rPr>
          <w:rFonts w:ascii="Arial Narrow" w:eastAsia="Times New Roman" w:hAnsi="Arial Narrow" w:cs="Times New Roman"/>
          <w:b/>
          <w:color w:val="000000"/>
          <w:sz w:val="26"/>
          <w:szCs w:val="26"/>
          <w:lang w:eastAsia="es-ES"/>
        </w:rPr>
        <w:t>.</w:t>
      </w:r>
    </w:p>
    <w:p w:rsid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numPr>
          <w:ilvl w:val="0"/>
          <w:numId w:val="2"/>
        </w:numPr>
        <w:spacing w:after="0" w:line="240" w:lineRule="auto"/>
        <w:contextualSpacing/>
        <w:jc w:val="both"/>
        <w:rPr>
          <w:rFonts w:ascii="Arial Narrow" w:eastAsia="Calibri" w:hAnsi="Arial Narrow" w:cs="Times New Roman"/>
          <w:b/>
          <w:color w:val="000000"/>
          <w:sz w:val="26"/>
          <w:szCs w:val="26"/>
          <w:lang w:eastAsia="es-ES"/>
        </w:rPr>
      </w:pPr>
      <w:r w:rsidRPr="00836FB8">
        <w:rPr>
          <w:rFonts w:ascii="Arial Narrow" w:eastAsia="Calibri" w:hAnsi="Arial Narrow" w:cs="Times New Roman"/>
          <w:b/>
          <w:color w:val="000000"/>
          <w:sz w:val="26"/>
          <w:szCs w:val="26"/>
          <w:lang w:eastAsia="es-ES"/>
        </w:rPr>
        <w:t>E</w:t>
      </w:r>
      <w:r w:rsidRPr="00836FB8">
        <w:rPr>
          <w:rFonts w:ascii="Arial Narrow" w:eastAsia="Calibri" w:hAnsi="Arial Narrow" w:cs="Times New Roman"/>
          <w:b/>
          <w:color w:val="000000"/>
          <w:sz w:val="26"/>
          <w:szCs w:val="26"/>
          <w:lang w:eastAsia="es-ES"/>
        </w:rPr>
        <w:t>n relación a la prevención y control de las enfermedades bucodentales.</w:t>
      </w:r>
    </w:p>
    <w:p w:rsid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color w:val="000000"/>
          <w:sz w:val="26"/>
          <w:szCs w:val="26"/>
          <w:lang w:eastAsia="es-ES"/>
        </w:rPr>
      </w:pPr>
      <w:r w:rsidRPr="00836FB8">
        <w:rPr>
          <w:rFonts w:ascii="Arial Narrow" w:eastAsia="Times New Roman" w:hAnsi="Arial Narrow" w:cs="Times New Roman"/>
          <w:color w:val="000000"/>
          <w:sz w:val="26"/>
          <w:szCs w:val="26"/>
          <w:lang w:eastAsia="es-ES"/>
        </w:rPr>
        <w:t xml:space="preserve">Planteada por </w:t>
      </w:r>
      <w:r>
        <w:rPr>
          <w:rFonts w:ascii="Arial Narrow" w:eastAsia="Times New Roman" w:hAnsi="Arial Narrow" w:cs="Times New Roman"/>
          <w:color w:val="000000"/>
          <w:sz w:val="26"/>
          <w:szCs w:val="26"/>
          <w:lang w:eastAsia="es-ES"/>
        </w:rPr>
        <w:t xml:space="preserve">la </w:t>
      </w:r>
      <w:r w:rsidRPr="00836FB8">
        <w:rPr>
          <w:rFonts w:ascii="Arial Narrow" w:eastAsia="Times New Roman" w:hAnsi="Arial Narrow" w:cs="Times New Roman"/>
          <w:b/>
          <w:color w:val="000000"/>
          <w:sz w:val="26"/>
          <w:szCs w:val="26"/>
          <w:lang w:eastAsia="es-ES"/>
        </w:rPr>
        <w:t>Diputada María Eugenia Guadalupe Calderón Amezcua</w:t>
      </w:r>
      <w:r w:rsidRPr="00836FB8">
        <w:rPr>
          <w:rFonts w:ascii="Arial Narrow" w:eastAsia="Times New Roman" w:hAnsi="Arial Narrow" w:cs="Times New Roman"/>
          <w:color w:val="000000"/>
          <w:sz w:val="26"/>
          <w:szCs w:val="26"/>
          <w:lang w:eastAsia="es-ES"/>
        </w:rPr>
        <w:t xml:space="preserve"> del Grupo Parlamentario “Miguel Ramos Arizpe”, del Partido Revolucionario Institucional.</w:t>
      </w:r>
    </w:p>
    <w:p w:rsidR="00836FB8" w:rsidRPr="00836FB8" w:rsidRDefault="00836FB8" w:rsidP="00836FB8">
      <w:pPr>
        <w:spacing w:after="0" w:line="240" w:lineRule="auto"/>
        <w:jc w:val="both"/>
        <w:rPr>
          <w:rFonts w:ascii="Arial Narrow" w:eastAsia="Times New Roman" w:hAnsi="Arial Narrow" w:cs="Arial"/>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b/>
          <w:color w:val="000000"/>
          <w:sz w:val="26"/>
          <w:szCs w:val="26"/>
          <w:lang w:eastAsia="es-ES"/>
        </w:rPr>
      </w:pPr>
      <w:r w:rsidRPr="00836FB8">
        <w:rPr>
          <w:rFonts w:ascii="Arial Narrow" w:eastAsia="Times New Roman" w:hAnsi="Arial Narrow" w:cs="Times New Roman"/>
          <w:color w:val="000000"/>
          <w:sz w:val="26"/>
          <w:szCs w:val="26"/>
          <w:lang w:eastAsia="es-ES"/>
        </w:rPr>
        <w:t xml:space="preserve">Fecha de Lectura de la Iniciativa: </w:t>
      </w:r>
      <w:r w:rsidRPr="00836FB8">
        <w:rPr>
          <w:rFonts w:ascii="Arial Narrow" w:eastAsia="Times New Roman" w:hAnsi="Arial Narrow" w:cs="Times New Roman"/>
          <w:b/>
          <w:color w:val="000000"/>
          <w:sz w:val="26"/>
          <w:szCs w:val="26"/>
          <w:lang w:eastAsia="es-ES"/>
        </w:rPr>
        <w:t xml:space="preserve">26 de </w:t>
      </w:r>
      <w:proofErr w:type="gramStart"/>
      <w:r w:rsidRPr="00836FB8">
        <w:rPr>
          <w:rFonts w:ascii="Arial Narrow" w:eastAsia="Times New Roman" w:hAnsi="Arial Narrow" w:cs="Times New Roman"/>
          <w:b/>
          <w:color w:val="000000"/>
          <w:sz w:val="26"/>
          <w:szCs w:val="26"/>
          <w:lang w:eastAsia="es-ES"/>
        </w:rPr>
        <w:t>Abril</w:t>
      </w:r>
      <w:proofErr w:type="gramEnd"/>
      <w:r w:rsidRPr="00836FB8">
        <w:rPr>
          <w:rFonts w:ascii="Arial Narrow" w:eastAsia="Times New Roman" w:hAnsi="Arial Narrow" w:cs="Times New Roman"/>
          <w:b/>
          <w:color w:val="000000"/>
          <w:sz w:val="26"/>
          <w:szCs w:val="26"/>
          <w:lang w:eastAsia="es-ES"/>
        </w:rPr>
        <w:t xml:space="preserve"> de 2022.</w:t>
      </w:r>
    </w:p>
    <w:p w:rsidR="00836FB8" w:rsidRP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b/>
          <w:color w:val="000000"/>
          <w:sz w:val="26"/>
          <w:szCs w:val="26"/>
          <w:lang w:eastAsia="es-ES"/>
        </w:rPr>
      </w:pPr>
      <w:r w:rsidRPr="00836FB8">
        <w:rPr>
          <w:rFonts w:ascii="Arial Narrow" w:eastAsia="Times New Roman" w:hAnsi="Arial Narrow" w:cs="Times New Roman"/>
          <w:color w:val="000000"/>
          <w:sz w:val="26"/>
          <w:szCs w:val="26"/>
          <w:lang w:eastAsia="es-ES"/>
        </w:rPr>
        <w:t xml:space="preserve">Turnada a la </w:t>
      </w:r>
      <w:r w:rsidRPr="00836FB8">
        <w:rPr>
          <w:rFonts w:ascii="Arial Narrow" w:eastAsia="Times New Roman" w:hAnsi="Arial Narrow" w:cs="Times New Roman"/>
          <w:b/>
          <w:color w:val="000000"/>
          <w:sz w:val="26"/>
          <w:szCs w:val="26"/>
          <w:lang w:eastAsia="es-ES"/>
        </w:rPr>
        <w:t>Comisión de Salud, Medio Ambiente, Recursos Naturales y Agua.</w:t>
      </w:r>
    </w:p>
    <w:p w:rsidR="00836FB8" w:rsidRP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b/>
          <w:color w:val="000000"/>
          <w:sz w:val="26"/>
          <w:szCs w:val="26"/>
          <w:lang w:eastAsia="es-ES"/>
        </w:rPr>
      </w:pPr>
      <w:r w:rsidRPr="00836FB8">
        <w:rPr>
          <w:rFonts w:ascii="Arial Narrow" w:eastAsia="Times New Roman" w:hAnsi="Arial Narrow" w:cs="Times New Roman"/>
          <w:b/>
          <w:color w:val="000000"/>
          <w:sz w:val="26"/>
          <w:szCs w:val="26"/>
          <w:lang w:eastAsia="es-ES"/>
        </w:rPr>
        <w:t xml:space="preserve">Fecha de lectura del Dictamen: </w:t>
      </w:r>
    </w:p>
    <w:p w:rsidR="00836FB8" w:rsidRPr="00836FB8" w:rsidRDefault="00836FB8" w:rsidP="00836FB8">
      <w:pPr>
        <w:spacing w:after="0" w:line="240" w:lineRule="auto"/>
        <w:jc w:val="both"/>
        <w:rPr>
          <w:rFonts w:ascii="Arial Narrow" w:eastAsia="Times New Roman" w:hAnsi="Arial Narrow" w:cs="Times New Roman"/>
          <w:b/>
          <w:color w:val="000000"/>
          <w:sz w:val="26"/>
          <w:szCs w:val="26"/>
          <w:lang w:eastAsia="es-ES"/>
        </w:rPr>
      </w:pPr>
    </w:p>
    <w:p w:rsidR="00836FB8" w:rsidRPr="00836FB8" w:rsidRDefault="00836FB8" w:rsidP="00836FB8">
      <w:pPr>
        <w:spacing w:after="0" w:line="240" w:lineRule="auto"/>
        <w:ind w:left="1418" w:hanging="1418"/>
        <w:jc w:val="both"/>
        <w:rPr>
          <w:rFonts w:ascii="Arial Narrow" w:eastAsia="Times New Roman" w:hAnsi="Arial Narrow" w:cs="Times New Roman"/>
          <w:b/>
          <w:color w:val="000000"/>
          <w:sz w:val="26"/>
          <w:szCs w:val="26"/>
          <w:lang w:eastAsia="es-ES"/>
        </w:rPr>
      </w:pPr>
      <w:r w:rsidRPr="00836FB8">
        <w:rPr>
          <w:rFonts w:ascii="Arial Narrow" w:eastAsia="Times New Roman" w:hAnsi="Arial Narrow" w:cs="Times New Roman"/>
          <w:b/>
          <w:color w:val="000000"/>
          <w:sz w:val="26"/>
          <w:szCs w:val="26"/>
          <w:lang w:eastAsia="es-ES"/>
        </w:rPr>
        <w:t xml:space="preserve">Decreto No. </w:t>
      </w:r>
    </w:p>
    <w:p w:rsidR="00836FB8" w:rsidRPr="00836FB8" w:rsidRDefault="00836FB8" w:rsidP="00836FB8">
      <w:pPr>
        <w:spacing w:after="0" w:line="240" w:lineRule="auto"/>
        <w:ind w:left="1418" w:hanging="1418"/>
        <w:jc w:val="both"/>
        <w:rPr>
          <w:rFonts w:ascii="Arial Narrow" w:eastAsia="Times New Roman" w:hAnsi="Arial Narrow" w:cs="Times New Roman"/>
          <w:b/>
          <w:color w:val="000000"/>
          <w:sz w:val="26"/>
          <w:szCs w:val="26"/>
          <w:lang w:eastAsia="es-ES"/>
        </w:rPr>
      </w:pPr>
    </w:p>
    <w:p w:rsidR="00836FB8" w:rsidRPr="00836FB8" w:rsidRDefault="00836FB8" w:rsidP="00836FB8">
      <w:pPr>
        <w:spacing w:after="0" w:line="240" w:lineRule="auto"/>
        <w:jc w:val="both"/>
        <w:rPr>
          <w:rFonts w:ascii="Arial Narrow" w:eastAsia="Times New Roman" w:hAnsi="Arial Narrow" w:cs="Times New Roman"/>
          <w:color w:val="000000"/>
          <w:sz w:val="26"/>
          <w:szCs w:val="26"/>
          <w:lang w:eastAsia="es-ES"/>
        </w:rPr>
      </w:pPr>
      <w:r w:rsidRPr="00836FB8">
        <w:rPr>
          <w:rFonts w:ascii="Arial Narrow" w:eastAsia="Times New Roman" w:hAnsi="Arial Narrow" w:cs="Times New Roman"/>
          <w:color w:val="000000"/>
          <w:sz w:val="26"/>
          <w:szCs w:val="26"/>
          <w:lang w:eastAsia="es-ES"/>
        </w:rPr>
        <w:t xml:space="preserve">Publicación en el Periódico Oficial del Gobierno del Estado: </w:t>
      </w:r>
    </w:p>
    <w:p w:rsidR="00836FB8" w:rsidRPr="00836FB8" w:rsidRDefault="00836FB8" w:rsidP="00836FB8">
      <w:pPr>
        <w:spacing w:after="0" w:line="240" w:lineRule="auto"/>
        <w:jc w:val="both"/>
        <w:rPr>
          <w:rFonts w:ascii="Arial Narrow" w:eastAsia="Times New Roman" w:hAnsi="Arial Narrow" w:cs="Times New Roman"/>
          <w:color w:val="000000"/>
          <w:sz w:val="26"/>
          <w:szCs w:val="26"/>
          <w:lang w:eastAsia="es-ES"/>
        </w:rPr>
      </w:pPr>
    </w:p>
    <w:p w:rsidR="00836FB8" w:rsidRPr="00836FB8" w:rsidRDefault="00836FB8" w:rsidP="00836FB8">
      <w:pPr>
        <w:spacing w:after="0" w:line="276" w:lineRule="auto"/>
        <w:jc w:val="both"/>
        <w:rPr>
          <w:rFonts w:ascii="Arial" w:eastAsia="Times New Roman" w:hAnsi="Arial" w:cs="Arial"/>
          <w:b/>
          <w:sz w:val="24"/>
          <w:szCs w:val="24"/>
          <w:lang w:eastAsia="es-MX"/>
        </w:rPr>
      </w:pPr>
    </w:p>
    <w:p w:rsidR="00836FB8" w:rsidRPr="00836FB8" w:rsidRDefault="00836FB8" w:rsidP="00836FB8">
      <w:pPr>
        <w:spacing w:after="0" w:line="276" w:lineRule="auto"/>
        <w:jc w:val="both"/>
        <w:rPr>
          <w:rFonts w:ascii="Arial" w:eastAsia="Times New Roman" w:hAnsi="Arial" w:cs="Arial"/>
          <w:b/>
          <w:sz w:val="24"/>
          <w:szCs w:val="24"/>
          <w:lang w:eastAsia="es-ES"/>
        </w:rPr>
      </w:pPr>
    </w:p>
    <w:p w:rsidR="00836FB8" w:rsidRPr="00836FB8" w:rsidRDefault="00836FB8" w:rsidP="00836FB8">
      <w:pPr>
        <w:spacing w:after="0" w:line="276" w:lineRule="auto"/>
        <w:jc w:val="both"/>
        <w:rPr>
          <w:rFonts w:ascii="Arial" w:eastAsia="Times New Roman" w:hAnsi="Arial" w:cs="Arial"/>
          <w:b/>
          <w:sz w:val="24"/>
          <w:szCs w:val="24"/>
          <w:lang w:eastAsia="es-ES"/>
        </w:rPr>
      </w:pPr>
    </w:p>
    <w:p w:rsidR="00836FB8" w:rsidRPr="00836FB8" w:rsidRDefault="00836FB8" w:rsidP="00836FB8">
      <w:pPr>
        <w:spacing w:after="0" w:line="276" w:lineRule="auto"/>
        <w:jc w:val="both"/>
        <w:rPr>
          <w:rFonts w:ascii="Arial" w:eastAsia="Times New Roman" w:hAnsi="Arial" w:cs="Arial"/>
          <w:b/>
          <w:sz w:val="24"/>
          <w:szCs w:val="24"/>
          <w:lang w:eastAsia="es-ES"/>
        </w:rPr>
      </w:pPr>
    </w:p>
    <w:p w:rsidR="00836FB8" w:rsidRPr="00836FB8" w:rsidRDefault="00836FB8" w:rsidP="00836FB8">
      <w:pPr>
        <w:spacing w:after="0" w:line="276" w:lineRule="auto"/>
        <w:jc w:val="both"/>
        <w:rPr>
          <w:rFonts w:ascii="Arial" w:eastAsia="Times New Roman" w:hAnsi="Arial" w:cs="Arial"/>
          <w:b/>
          <w:sz w:val="24"/>
          <w:szCs w:val="24"/>
          <w:lang w:eastAsia="es-ES"/>
        </w:rPr>
      </w:pPr>
    </w:p>
    <w:p w:rsidR="00836FB8" w:rsidRDefault="00836FB8">
      <w:pPr>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br w:type="page"/>
      </w:r>
    </w:p>
    <w:p w:rsidR="00D5537D" w:rsidRDefault="00562E5F" w:rsidP="00EE0420">
      <w:pPr>
        <w:tabs>
          <w:tab w:val="left" w:pos="1080"/>
        </w:tabs>
        <w:spacing w:after="0" w:line="240" w:lineRule="auto"/>
        <w:jc w:val="both"/>
        <w:rPr>
          <w:rFonts w:ascii="Arial" w:eastAsia="Times New Roman" w:hAnsi="Arial" w:cs="Arial"/>
          <w:b/>
          <w:bCs/>
          <w:color w:val="000000" w:themeColor="text1"/>
          <w:sz w:val="24"/>
          <w:szCs w:val="24"/>
          <w:lang w:eastAsia="es-ES"/>
        </w:rPr>
      </w:pPr>
      <w:r w:rsidRPr="00562E5F">
        <w:rPr>
          <w:rFonts w:ascii="Arial" w:eastAsia="Times New Roman" w:hAnsi="Arial" w:cs="Arial"/>
          <w:b/>
          <w:color w:val="000000" w:themeColor="text1"/>
          <w:sz w:val="24"/>
          <w:szCs w:val="24"/>
          <w:lang w:eastAsia="es-ES"/>
        </w:rPr>
        <w:lastRenderedPageBreak/>
        <w:t xml:space="preserve">INICIATIVA CON PROYECTO DE DECRETO QUE PRESENTA </w:t>
      </w:r>
      <w:r w:rsidR="00D5537D" w:rsidRPr="00562E5F">
        <w:rPr>
          <w:rFonts w:ascii="Arial" w:eastAsia="Times New Roman" w:hAnsi="Arial" w:cs="Arial"/>
          <w:b/>
          <w:bCs/>
          <w:color w:val="000000" w:themeColor="text1"/>
          <w:sz w:val="24"/>
          <w:szCs w:val="24"/>
          <w:lang w:eastAsia="es-ES"/>
        </w:rPr>
        <w:t xml:space="preserve">LA DIPUTADA MARÍA EUGENIA </w:t>
      </w:r>
      <w:r w:rsidR="00D5537D">
        <w:rPr>
          <w:rFonts w:ascii="Arial" w:eastAsia="Times New Roman" w:hAnsi="Arial" w:cs="Arial"/>
          <w:b/>
          <w:bCs/>
          <w:color w:val="000000" w:themeColor="text1"/>
          <w:sz w:val="24"/>
          <w:szCs w:val="24"/>
          <w:lang w:eastAsia="es-ES"/>
        </w:rPr>
        <w:t xml:space="preserve">GUADALUPE </w:t>
      </w:r>
      <w:r w:rsidR="00D5537D" w:rsidRPr="00562E5F">
        <w:rPr>
          <w:rFonts w:ascii="Arial" w:eastAsia="Times New Roman" w:hAnsi="Arial" w:cs="Arial"/>
          <w:b/>
          <w:bCs/>
          <w:color w:val="000000" w:themeColor="text1"/>
          <w:sz w:val="24"/>
          <w:szCs w:val="24"/>
          <w:lang w:eastAsia="es-ES"/>
        </w:rPr>
        <w:t>CALDERÓN AMEZCUA</w:t>
      </w:r>
      <w:r w:rsidR="00D5537D" w:rsidRPr="00562E5F">
        <w:rPr>
          <w:rFonts w:ascii="Arial" w:eastAsia="Times New Roman" w:hAnsi="Arial" w:cs="Arial"/>
          <w:b/>
          <w:color w:val="000000" w:themeColor="text1"/>
          <w:sz w:val="24"/>
          <w:szCs w:val="24"/>
          <w:lang w:eastAsia="es-ES"/>
        </w:rPr>
        <w:t xml:space="preserve"> </w:t>
      </w:r>
      <w:r w:rsidR="00D5537D">
        <w:rPr>
          <w:rFonts w:ascii="Arial" w:eastAsia="Times New Roman" w:hAnsi="Arial" w:cs="Arial"/>
          <w:b/>
          <w:color w:val="000000" w:themeColor="text1"/>
          <w:sz w:val="24"/>
          <w:szCs w:val="24"/>
          <w:lang w:eastAsia="es-ES"/>
        </w:rPr>
        <w:t xml:space="preserve">CONJUNTAMENTE CON </w:t>
      </w:r>
      <w:r w:rsidRPr="00562E5F">
        <w:rPr>
          <w:rFonts w:ascii="Arial" w:eastAsia="Times New Roman" w:hAnsi="Arial" w:cs="Arial"/>
          <w:b/>
          <w:color w:val="000000" w:themeColor="text1"/>
          <w:sz w:val="24"/>
          <w:szCs w:val="24"/>
          <w:lang w:eastAsia="es-ES"/>
        </w:rPr>
        <w:t xml:space="preserve">LAS DIPUTADAS Y </w:t>
      </w:r>
      <w:r w:rsidRPr="00562E5F">
        <w:rPr>
          <w:rFonts w:ascii="Arial" w:eastAsia="Times New Roman" w:hAnsi="Arial" w:cs="Arial"/>
          <w:b/>
          <w:bCs/>
          <w:color w:val="000000" w:themeColor="text1"/>
          <w:sz w:val="24"/>
          <w:szCs w:val="24"/>
          <w:lang w:eastAsia="es-ES"/>
        </w:rPr>
        <w:t>DIPUTADOS INTEGRANTES DEL GRUPO PARLAMENTARIO “MIGUEL RAMOS ARÍZPE”, DEL PARTIDO REVOLUCI</w:t>
      </w:r>
      <w:r w:rsidR="00D5537D">
        <w:rPr>
          <w:rFonts w:ascii="Arial" w:eastAsia="Times New Roman" w:hAnsi="Arial" w:cs="Arial"/>
          <w:b/>
          <w:bCs/>
          <w:color w:val="000000" w:themeColor="text1"/>
          <w:sz w:val="24"/>
          <w:szCs w:val="24"/>
          <w:lang w:eastAsia="es-ES"/>
        </w:rPr>
        <w:t xml:space="preserve">ONARIO </w:t>
      </w:r>
      <w:proofErr w:type="gramStart"/>
      <w:r w:rsidR="00D5537D">
        <w:rPr>
          <w:rFonts w:ascii="Arial" w:eastAsia="Times New Roman" w:hAnsi="Arial" w:cs="Arial"/>
          <w:b/>
          <w:bCs/>
          <w:color w:val="000000" w:themeColor="text1"/>
          <w:sz w:val="24"/>
          <w:szCs w:val="24"/>
          <w:lang w:eastAsia="es-ES"/>
        </w:rPr>
        <w:t xml:space="preserve">INSTITUCIONAL, </w:t>
      </w:r>
      <w:r w:rsidRPr="00562E5F">
        <w:rPr>
          <w:rFonts w:ascii="Arial" w:eastAsia="Times New Roman" w:hAnsi="Arial" w:cs="Arial"/>
          <w:b/>
          <w:bCs/>
          <w:color w:val="000000" w:themeColor="text1"/>
          <w:sz w:val="24"/>
          <w:szCs w:val="24"/>
          <w:lang w:eastAsia="es-ES"/>
        </w:rPr>
        <w:t xml:space="preserve"> POR</w:t>
      </w:r>
      <w:proofErr w:type="gramEnd"/>
      <w:r w:rsidRPr="00562E5F">
        <w:rPr>
          <w:rFonts w:ascii="Arial" w:eastAsia="Times New Roman" w:hAnsi="Arial" w:cs="Arial"/>
          <w:b/>
          <w:bCs/>
          <w:color w:val="000000" w:themeColor="text1"/>
          <w:sz w:val="24"/>
          <w:szCs w:val="24"/>
          <w:lang w:eastAsia="es-ES"/>
        </w:rPr>
        <w:t xml:space="preserve"> EL QUE SE</w:t>
      </w:r>
      <w:r w:rsidR="008F3672">
        <w:rPr>
          <w:rFonts w:ascii="Arial" w:eastAsia="Times New Roman" w:hAnsi="Arial" w:cs="Arial"/>
          <w:b/>
          <w:bCs/>
          <w:color w:val="000000" w:themeColor="text1"/>
          <w:sz w:val="24"/>
          <w:szCs w:val="24"/>
          <w:lang w:eastAsia="es-ES"/>
        </w:rPr>
        <w:t xml:space="preserve"> ADICIONA EL </w:t>
      </w:r>
      <w:r w:rsidR="00D5537D">
        <w:rPr>
          <w:rFonts w:ascii="Arial" w:eastAsia="Times New Roman" w:hAnsi="Arial" w:cs="Arial"/>
          <w:b/>
          <w:bCs/>
          <w:color w:val="000000" w:themeColor="text1"/>
          <w:sz w:val="24"/>
          <w:szCs w:val="24"/>
          <w:lang w:eastAsia="es-ES"/>
        </w:rPr>
        <w:t xml:space="preserve">CAPITULO IX Y EL </w:t>
      </w:r>
      <w:r w:rsidR="008F3672">
        <w:rPr>
          <w:rFonts w:ascii="Arial" w:eastAsia="Times New Roman" w:hAnsi="Arial" w:cs="Arial"/>
          <w:b/>
          <w:bCs/>
          <w:color w:val="000000" w:themeColor="text1"/>
          <w:sz w:val="24"/>
          <w:szCs w:val="24"/>
          <w:lang w:eastAsia="es-ES"/>
        </w:rPr>
        <w:t xml:space="preserve">ARTÍCULO </w:t>
      </w:r>
      <w:r w:rsidR="00D5537D">
        <w:rPr>
          <w:rFonts w:ascii="Arial" w:eastAsia="Times New Roman" w:hAnsi="Arial" w:cs="Arial"/>
          <w:b/>
          <w:bCs/>
          <w:color w:val="000000" w:themeColor="text1"/>
          <w:sz w:val="24"/>
          <w:szCs w:val="24"/>
          <w:lang w:eastAsia="es-ES"/>
        </w:rPr>
        <w:t>70 BIS 2 A LA LEY ESTATAL DE SALUD</w:t>
      </w:r>
      <w:r w:rsidR="00B41622">
        <w:rPr>
          <w:rFonts w:ascii="Arial" w:eastAsia="Times New Roman" w:hAnsi="Arial" w:cs="Arial"/>
          <w:b/>
          <w:bCs/>
          <w:color w:val="000000" w:themeColor="text1"/>
          <w:sz w:val="24"/>
          <w:szCs w:val="24"/>
          <w:lang w:eastAsia="es-ES"/>
        </w:rPr>
        <w:t xml:space="preserve">, </w:t>
      </w:r>
      <w:r w:rsidR="00D5537D">
        <w:rPr>
          <w:rFonts w:ascii="Arial" w:eastAsia="Times New Roman" w:hAnsi="Arial" w:cs="Arial"/>
          <w:b/>
          <w:bCs/>
          <w:color w:val="000000" w:themeColor="text1"/>
          <w:sz w:val="24"/>
          <w:szCs w:val="24"/>
          <w:lang w:eastAsia="es-ES"/>
        </w:rPr>
        <w:t>EN RELACIÓN A LA PREVENCIÓN Y CONTROL DE LAS ENFERMEDADES BUCODENTALES.</w:t>
      </w:r>
    </w:p>
    <w:p w:rsidR="00562E5F" w:rsidRPr="00562E5F" w:rsidRDefault="00D5537D" w:rsidP="00EE0420">
      <w:pPr>
        <w:tabs>
          <w:tab w:val="left" w:pos="1080"/>
        </w:tabs>
        <w:spacing w:after="0" w:line="240" w:lineRule="auto"/>
        <w:jc w:val="both"/>
        <w:rPr>
          <w:rFonts w:ascii="Arial" w:eastAsia="Times New Roman" w:hAnsi="Arial" w:cs="Arial"/>
          <w:b/>
          <w:color w:val="000000" w:themeColor="text1"/>
          <w:sz w:val="24"/>
          <w:szCs w:val="24"/>
          <w:lang w:eastAsia="es-ES"/>
        </w:rPr>
      </w:pPr>
      <w:r w:rsidRPr="00562E5F">
        <w:rPr>
          <w:rFonts w:ascii="Arial" w:eastAsia="Times New Roman" w:hAnsi="Arial" w:cs="Arial"/>
          <w:b/>
          <w:color w:val="000000" w:themeColor="text1"/>
          <w:sz w:val="24"/>
          <w:szCs w:val="24"/>
          <w:lang w:eastAsia="es-ES"/>
        </w:rPr>
        <w:t xml:space="preserve"> </w:t>
      </w:r>
    </w:p>
    <w:p w:rsidR="00562E5F" w:rsidRPr="00562E5F" w:rsidRDefault="00562E5F" w:rsidP="00562E5F">
      <w:pPr>
        <w:spacing w:after="0" w:line="240" w:lineRule="auto"/>
        <w:jc w:val="both"/>
        <w:rPr>
          <w:rFonts w:ascii="Arial" w:eastAsia="Times New Roman" w:hAnsi="Arial" w:cs="Arial"/>
          <w:b/>
          <w:color w:val="000000" w:themeColor="text1"/>
          <w:sz w:val="24"/>
          <w:szCs w:val="24"/>
          <w:lang w:eastAsia="es-ES"/>
        </w:rPr>
      </w:pPr>
      <w:r w:rsidRPr="00562E5F">
        <w:rPr>
          <w:rFonts w:ascii="Arial" w:eastAsia="Times New Roman" w:hAnsi="Arial" w:cs="Arial"/>
          <w:b/>
          <w:color w:val="000000" w:themeColor="text1"/>
          <w:sz w:val="24"/>
          <w:szCs w:val="24"/>
          <w:lang w:eastAsia="es-ES"/>
        </w:rPr>
        <w:t xml:space="preserve">H. PLENO DEL CONGRESO DEL ESTADO </w:t>
      </w:r>
    </w:p>
    <w:p w:rsidR="00562E5F" w:rsidRPr="00562E5F" w:rsidRDefault="00562E5F" w:rsidP="00562E5F">
      <w:pPr>
        <w:spacing w:after="0" w:line="240" w:lineRule="auto"/>
        <w:jc w:val="both"/>
        <w:rPr>
          <w:rFonts w:ascii="Arial" w:eastAsia="Times New Roman" w:hAnsi="Arial" w:cs="Arial"/>
          <w:b/>
          <w:color w:val="000000" w:themeColor="text1"/>
          <w:sz w:val="24"/>
          <w:szCs w:val="24"/>
          <w:lang w:eastAsia="es-ES"/>
        </w:rPr>
      </w:pPr>
      <w:r w:rsidRPr="00562E5F">
        <w:rPr>
          <w:rFonts w:ascii="Arial" w:eastAsia="Times New Roman" w:hAnsi="Arial" w:cs="Arial"/>
          <w:b/>
          <w:color w:val="000000" w:themeColor="text1"/>
          <w:sz w:val="24"/>
          <w:szCs w:val="24"/>
          <w:lang w:eastAsia="es-ES"/>
        </w:rPr>
        <w:t>DE COAHUILA DE ZARAGOZA.</w:t>
      </w:r>
    </w:p>
    <w:p w:rsidR="00562E5F" w:rsidRPr="00562E5F" w:rsidRDefault="00562E5F" w:rsidP="00562E5F">
      <w:pPr>
        <w:spacing w:after="0" w:line="240" w:lineRule="auto"/>
        <w:jc w:val="both"/>
        <w:rPr>
          <w:rFonts w:ascii="Arial" w:eastAsia="Times New Roman" w:hAnsi="Arial" w:cs="Arial"/>
          <w:b/>
          <w:color w:val="000000" w:themeColor="text1"/>
          <w:sz w:val="24"/>
          <w:szCs w:val="24"/>
          <w:lang w:eastAsia="es-ES"/>
        </w:rPr>
      </w:pPr>
      <w:r w:rsidRPr="00562E5F">
        <w:rPr>
          <w:rFonts w:ascii="Arial" w:eastAsia="Times New Roman" w:hAnsi="Arial" w:cs="Arial"/>
          <w:b/>
          <w:color w:val="000000" w:themeColor="text1"/>
          <w:sz w:val="24"/>
          <w:szCs w:val="24"/>
          <w:lang w:eastAsia="es-ES"/>
        </w:rPr>
        <w:t>P R E S E N T E.-</w:t>
      </w:r>
    </w:p>
    <w:p w:rsidR="00562E5F" w:rsidRDefault="00562E5F" w:rsidP="00562E5F">
      <w:pPr>
        <w:spacing w:after="0" w:line="240" w:lineRule="auto"/>
        <w:jc w:val="both"/>
        <w:rPr>
          <w:rFonts w:ascii="Arial" w:eastAsia="Times New Roman" w:hAnsi="Arial" w:cs="Arial"/>
          <w:color w:val="000000" w:themeColor="text1"/>
          <w:sz w:val="24"/>
          <w:szCs w:val="24"/>
          <w:lang w:eastAsia="es-ES"/>
        </w:rPr>
      </w:pPr>
    </w:p>
    <w:p w:rsidR="003E6068" w:rsidRPr="00562E5F" w:rsidRDefault="003E6068" w:rsidP="00562E5F">
      <w:pPr>
        <w:spacing w:after="0" w:line="240" w:lineRule="auto"/>
        <w:jc w:val="both"/>
        <w:rPr>
          <w:rFonts w:ascii="Arial" w:eastAsia="Times New Roman" w:hAnsi="Arial" w:cs="Arial"/>
          <w:color w:val="000000" w:themeColor="text1"/>
          <w:sz w:val="24"/>
          <w:szCs w:val="24"/>
          <w:lang w:eastAsia="es-ES"/>
        </w:rPr>
      </w:pPr>
    </w:p>
    <w:p w:rsidR="00562E5F" w:rsidRPr="003E6068" w:rsidRDefault="00562E5F" w:rsidP="00DB4447">
      <w:pPr>
        <w:spacing w:after="0" w:line="360" w:lineRule="auto"/>
        <w:jc w:val="both"/>
        <w:rPr>
          <w:rFonts w:ascii="Arial" w:eastAsia="Times New Roman" w:hAnsi="Arial" w:cs="Arial"/>
          <w:color w:val="000000" w:themeColor="text1"/>
          <w:sz w:val="24"/>
          <w:szCs w:val="24"/>
          <w:lang w:eastAsia="es-ES"/>
        </w:rPr>
      </w:pPr>
      <w:r w:rsidRPr="00562E5F">
        <w:rPr>
          <w:rFonts w:ascii="Arial" w:eastAsia="Times New Roman" w:hAnsi="Arial" w:cs="Arial"/>
          <w:color w:val="000000" w:themeColor="text1"/>
          <w:sz w:val="24"/>
          <w:szCs w:val="24"/>
          <w:lang w:eastAsia="es-ES"/>
        </w:rPr>
        <w:t>La suscrita Diputada María Eugenia Guadalupe Calderón Amezcua, conjuntamente con las demás Diputadas y Diputados integrantes del Grupo Parlamentario “Miguel Ramos Arizpe”, del Partido</w:t>
      </w:r>
      <w:r>
        <w:rPr>
          <w:rFonts w:ascii="Arial" w:eastAsia="Times New Roman" w:hAnsi="Arial" w:cs="Arial"/>
          <w:color w:val="000000" w:themeColor="text1"/>
          <w:sz w:val="24"/>
          <w:szCs w:val="24"/>
          <w:lang w:eastAsia="es-ES"/>
        </w:rPr>
        <w:t xml:space="preserve"> Revolucionario Institucional, </w:t>
      </w:r>
      <w:r w:rsidRPr="00562E5F">
        <w:rPr>
          <w:rFonts w:ascii="Arial" w:eastAsia="Times New Roman" w:hAnsi="Arial" w:cs="Arial"/>
          <w:color w:val="000000" w:themeColor="text1"/>
          <w:sz w:val="24"/>
          <w:szCs w:val="24"/>
          <w:lang w:eastAsia="es-ES"/>
        </w:rPr>
        <w:t xml:space="preserve">en ejercicio de las facultades que nos confieren 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w:t>
      </w:r>
      <w:r w:rsidR="00596B1D">
        <w:rPr>
          <w:rFonts w:ascii="Arial" w:eastAsia="Times New Roman" w:hAnsi="Arial" w:cs="Arial"/>
          <w:color w:val="000000" w:themeColor="text1"/>
          <w:sz w:val="24"/>
          <w:szCs w:val="24"/>
          <w:lang w:eastAsia="es-ES"/>
        </w:rPr>
        <w:t xml:space="preserve">se </w:t>
      </w:r>
      <w:r w:rsidR="009A1373">
        <w:rPr>
          <w:rFonts w:ascii="Arial" w:eastAsia="Times New Roman" w:hAnsi="Arial" w:cs="Arial"/>
          <w:color w:val="000000" w:themeColor="text1"/>
          <w:sz w:val="24"/>
          <w:szCs w:val="24"/>
          <w:lang w:eastAsia="es-ES"/>
        </w:rPr>
        <w:t xml:space="preserve">adiciona el </w:t>
      </w:r>
      <w:r w:rsidR="003E6068">
        <w:rPr>
          <w:rFonts w:ascii="Arial" w:eastAsia="Times New Roman" w:hAnsi="Arial" w:cs="Arial"/>
          <w:color w:val="000000" w:themeColor="text1"/>
          <w:sz w:val="24"/>
          <w:szCs w:val="24"/>
          <w:lang w:eastAsia="es-ES"/>
        </w:rPr>
        <w:t xml:space="preserve">Capítulo IX y el </w:t>
      </w:r>
      <w:r w:rsidR="009A1373">
        <w:rPr>
          <w:rFonts w:ascii="Arial" w:eastAsia="Times New Roman" w:hAnsi="Arial" w:cs="Arial"/>
          <w:color w:val="000000" w:themeColor="text1"/>
          <w:sz w:val="24"/>
          <w:szCs w:val="24"/>
          <w:lang w:eastAsia="es-ES"/>
        </w:rPr>
        <w:t xml:space="preserve">artículo </w:t>
      </w:r>
      <w:r w:rsidR="00AA533E">
        <w:rPr>
          <w:rFonts w:ascii="Arial" w:eastAsia="Times New Roman" w:hAnsi="Arial" w:cs="Arial"/>
          <w:color w:val="000000" w:themeColor="text1"/>
          <w:sz w:val="24"/>
          <w:szCs w:val="24"/>
          <w:lang w:eastAsia="es-ES"/>
        </w:rPr>
        <w:t>70 b</w:t>
      </w:r>
      <w:r w:rsidR="009A1373">
        <w:rPr>
          <w:rFonts w:ascii="Arial" w:eastAsia="Times New Roman" w:hAnsi="Arial" w:cs="Arial"/>
          <w:color w:val="000000" w:themeColor="text1"/>
          <w:sz w:val="24"/>
          <w:szCs w:val="24"/>
          <w:lang w:eastAsia="es-ES"/>
        </w:rPr>
        <w:t xml:space="preserve">is </w:t>
      </w:r>
      <w:r w:rsidR="00AA533E">
        <w:rPr>
          <w:rFonts w:ascii="Arial" w:eastAsia="Times New Roman" w:hAnsi="Arial" w:cs="Arial"/>
          <w:color w:val="000000" w:themeColor="text1"/>
          <w:sz w:val="24"/>
          <w:szCs w:val="24"/>
          <w:lang w:eastAsia="es-ES"/>
        </w:rPr>
        <w:t xml:space="preserve">2, </w:t>
      </w:r>
      <w:r w:rsidR="009A1373">
        <w:rPr>
          <w:rFonts w:ascii="Arial" w:eastAsia="Times New Roman" w:hAnsi="Arial" w:cs="Arial"/>
          <w:color w:val="000000" w:themeColor="text1"/>
          <w:sz w:val="24"/>
          <w:szCs w:val="24"/>
          <w:lang w:eastAsia="es-ES"/>
        </w:rPr>
        <w:t>a</w:t>
      </w:r>
      <w:r w:rsidR="00AA533E">
        <w:rPr>
          <w:rFonts w:ascii="Arial" w:eastAsia="Times New Roman" w:hAnsi="Arial" w:cs="Arial"/>
          <w:color w:val="000000" w:themeColor="text1"/>
          <w:sz w:val="24"/>
          <w:szCs w:val="24"/>
          <w:lang w:eastAsia="es-ES"/>
        </w:rPr>
        <w:t xml:space="preserve"> </w:t>
      </w:r>
      <w:r w:rsidR="009A1373">
        <w:rPr>
          <w:rFonts w:ascii="Arial" w:eastAsia="Times New Roman" w:hAnsi="Arial" w:cs="Arial"/>
          <w:color w:val="000000" w:themeColor="text1"/>
          <w:sz w:val="24"/>
          <w:szCs w:val="24"/>
          <w:lang w:eastAsia="es-ES"/>
        </w:rPr>
        <w:t>l</w:t>
      </w:r>
      <w:r w:rsidR="00AA533E">
        <w:rPr>
          <w:rFonts w:ascii="Arial" w:eastAsia="Times New Roman" w:hAnsi="Arial" w:cs="Arial"/>
          <w:color w:val="000000" w:themeColor="text1"/>
          <w:sz w:val="24"/>
          <w:szCs w:val="24"/>
          <w:lang w:eastAsia="es-ES"/>
        </w:rPr>
        <w:t>a Ley Estatal de Salud</w:t>
      </w:r>
      <w:r>
        <w:rPr>
          <w:rFonts w:ascii="Arial" w:eastAsia="Times New Roman" w:hAnsi="Arial" w:cs="Arial"/>
          <w:color w:val="000000" w:themeColor="text1"/>
          <w:sz w:val="24"/>
          <w:szCs w:val="24"/>
          <w:shd w:val="clear" w:color="auto" w:fill="FFFFFF"/>
          <w:lang w:eastAsia="es-MX"/>
        </w:rPr>
        <w:t>,</w:t>
      </w:r>
      <w:r w:rsidRPr="00562E5F">
        <w:rPr>
          <w:rFonts w:ascii="Arial" w:eastAsia="Times New Roman" w:hAnsi="Arial" w:cs="Arial"/>
          <w:color w:val="000000" w:themeColor="text1"/>
          <w:sz w:val="24"/>
          <w:szCs w:val="24"/>
          <w:shd w:val="clear" w:color="auto" w:fill="FFFFFF"/>
          <w:lang w:eastAsia="es-MX"/>
        </w:rPr>
        <w:t xml:space="preserve"> bajo la siguiente:</w:t>
      </w:r>
    </w:p>
    <w:p w:rsidR="00562E5F" w:rsidRPr="00562E5F" w:rsidRDefault="00562E5F" w:rsidP="00562E5F">
      <w:pPr>
        <w:spacing w:after="0" w:line="240" w:lineRule="auto"/>
        <w:jc w:val="center"/>
        <w:rPr>
          <w:rFonts w:ascii="Times New Roman" w:eastAsia="Times New Roman" w:hAnsi="Times New Roman" w:cs="Arial"/>
          <w:b/>
          <w:color w:val="000000" w:themeColor="text1"/>
          <w:sz w:val="24"/>
          <w:szCs w:val="24"/>
          <w:lang w:eastAsia="es-ES"/>
        </w:rPr>
      </w:pPr>
    </w:p>
    <w:p w:rsidR="00562E5F" w:rsidRPr="00562E5F" w:rsidRDefault="00562E5F" w:rsidP="00562E5F">
      <w:pPr>
        <w:spacing w:after="0" w:line="240" w:lineRule="auto"/>
        <w:jc w:val="center"/>
        <w:rPr>
          <w:rFonts w:ascii="Times New Roman" w:eastAsia="Times New Roman" w:hAnsi="Times New Roman" w:cs="Arial"/>
          <w:b/>
          <w:color w:val="000000" w:themeColor="text1"/>
          <w:sz w:val="24"/>
          <w:szCs w:val="24"/>
          <w:lang w:eastAsia="es-ES"/>
        </w:rPr>
      </w:pPr>
    </w:p>
    <w:p w:rsidR="00562E5F" w:rsidRDefault="00562E5F" w:rsidP="00562E5F">
      <w:pPr>
        <w:spacing w:after="0" w:line="240" w:lineRule="auto"/>
        <w:jc w:val="center"/>
        <w:rPr>
          <w:rFonts w:ascii="Arial" w:eastAsia="Times New Roman" w:hAnsi="Arial" w:cs="Arial"/>
          <w:b/>
          <w:color w:val="000000" w:themeColor="text1"/>
          <w:sz w:val="24"/>
          <w:szCs w:val="24"/>
          <w:lang w:eastAsia="es-ES"/>
        </w:rPr>
      </w:pPr>
      <w:r w:rsidRPr="00562E5F">
        <w:rPr>
          <w:rFonts w:ascii="Arial" w:eastAsia="Times New Roman" w:hAnsi="Arial" w:cs="Arial"/>
          <w:b/>
          <w:color w:val="000000" w:themeColor="text1"/>
          <w:sz w:val="24"/>
          <w:szCs w:val="24"/>
          <w:lang w:eastAsia="es-ES"/>
        </w:rPr>
        <w:t>E X P O S I C I Ó N     D E     M O T I V O S</w:t>
      </w:r>
    </w:p>
    <w:p w:rsidR="007842CB" w:rsidRDefault="007842CB" w:rsidP="007842CB">
      <w:pPr>
        <w:spacing w:after="0" w:line="240" w:lineRule="auto"/>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 </w:t>
      </w:r>
    </w:p>
    <w:p w:rsidR="000212FD" w:rsidRDefault="000212FD" w:rsidP="007842CB">
      <w:pPr>
        <w:spacing w:after="0" w:line="240" w:lineRule="auto"/>
        <w:rPr>
          <w:rFonts w:ascii="Arial" w:eastAsia="Times New Roman" w:hAnsi="Arial" w:cs="Arial"/>
          <w:color w:val="000000" w:themeColor="text1"/>
          <w:sz w:val="24"/>
          <w:szCs w:val="24"/>
          <w:lang w:eastAsia="es-ES"/>
        </w:rPr>
      </w:pP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Para la Organización Mundial de la Salud, la salud bucodental es un indicador clave de la salud, el bienestar y la calidad de vida en general, y la define como «un estado exento de dolor bucodental o facial crónico, cáncer de la cavidad bucal o la garganta, infección oral y anginas, periodontopatías, caries dental, pérdida de dientes y otras enfermedades y trastornos que limitan la capacidad de una persona para morder, masticar, sonreír y hablar, así como su bienestar psicosocial».</w:t>
      </w:r>
      <w:r w:rsidRPr="00F11BAC">
        <w:rPr>
          <w:rFonts w:ascii="Arial" w:eastAsia="Times New Roman" w:hAnsi="Arial" w:cs="Arial"/>
          <w:color w:val="000000" w:themeColor="text1"/>
          <w:sz w:val="24"/>
          <w:szCs w:val="24"/>
          <w:vertAlign w:val="superscript"/>
          <w:lang w:eastAsia="es-ES"/>
        </w:rPr>
        <w:footnoteReference w:id="1"/>
      </w:r>
    </w:p>
    <w:p w:rsidR="00F11BAC"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De acuerdo con datos y cifras de la Organización Mundial de la Salud (OMS), las enfermedades bucodentales son las enfermedades no transmisibles más comunes, y afectan a las personas durante toda su vida, causando dolor, molestias, desfiguración e incluso la muerte; según estimaciones publicadas en el estudio sobre la carga mundial de morbilidad 2016, las enfermedades bucodentales afectan a la mitad de la población mundial (3580 millones de personas), y la caries dental en dientes permanentes es el trastorno más prevalente</w:t>
      </w:r>
      <w:r w:rsidRPr="00F11BAC">
        <w:rPr>
          <w:rFonts w:ascii="Arial" w:eastAsia="Times New Roman" w:hAnsi="Arial" w:cs="Arial"/>
          <w:color w:val="000000" w:themeColor="text1"/>
          <w:sz w:val="24"/>
          <w:szCs w:val="24"/>
          <w:vertAlign w:val="superscript"/>
          <w:lang w:eastAsia="es-ES"/>
        </w:rPr>
        <w:footnoteReference w:id="2"/>
      </w:r>
      <w:r w:rsidRPr="00F11BAC">
        <w:rPr>
          <w:rFonts w:ascii="Arial" w:eastAsia="Times New Roman" w:hAnsi="Arial" w:cs="Arial"/>
          <w:color w:val="000000" w:themeColor="text1"/>
          <w:sz w:val="24"/>
          <w:szCs w:val="24"/>
          <w:lang w:eastAsia="es-ES"/>
        </w:rPr>
        <w:t>. Se estima que la periodontopatía grave, que pueden ocasionar pérdidas de dientes, es la undécima enfermedad más prevalente en el mundo. La pérdida grave de dientes y el edentulismo total fueron algunas de las diez principales causas de años perdidos por discapacidad en algunos países de altos ingresos.</w:t>
      </w:r>
    </w:p>
    <w:p w:rsidR="00716C8E" w:rsidRPr="00F11BAC" w:rsidRDefault="00716C8E" w:rsidP="00F11BAC">
      <w:pPr>
        <w:spacing w:after="0" w:line="360" w:lineRule="auto"/>
        <w:jc w:val="both"/>
        <w:rPr>
          <w:rFonts w:ascii="Arial" w:eastAsia="Times New Roman" w:hAnsi="Arial" w:cs="Arial"/>
          <w:color w:val="000000" w:themeColor="text1"/>
          <w:sz w:val="24"/>
          <w:szCs w:val="24"/>
          <w:lang w:eastAsia="es-ES"/>
        </w:rPr>
      </w:pP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En algunos países de Asia y el Pacífico, el cáncer bucal (cáncer de labio y la cavidad bucal) es uno de los tres principales tipos de cáncer en razón de su incidencia. El tratamiento dental es costoso, y representa una media del 5% del gasto total en salud y el 20% del gasto medio directo en salud en la mayoría de los países de altos ingresos.</w:t>
      </w:r>
    </w:p>
    <w:p w:rsidR="00716C8E" w:rsidRDefault="00716C8E" w:rsidP="00F11BAC">
      <w:pPr>
        <w:spacing w:after="0" w:line="360" w:lineRule="auto"/>
        <w:jc w:val="both"/>
        <w:rPr>
          <w:rFonts w:ascii="Arial" w:eastAsia="Times New Roman" w:hAnsi="Arial" w:cs="Arial"/>
          <w:color w:val="000000" w:themeColor="text1"/>
          <w:sz w:val="24"/>
          <w:szCs w:val="24"/>
          <w:lang w:eastAsia="es-ES"/>
        </w:rPr>
      </w:pP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La Organización Mundial de la Salud, refiere también, que las desigualdades en lo que respecta a la salud bucodental existen entre diferentes grupos de población de todo el mundo y durante todo el ciclo de vida, en consecuencia, los determinantes sociales tienen un fuerte impacto en la salud bucodental. Los factores de riesgo comportamentales relativos a las enfermedades bucodentales son comunes a otras importantes enfermedades no transmisibles, entre ellas una dieta malsana rica en azúcares libres, el consumo de tabaco y el consumo nocivo de alcohol, aunado a lo anterior, de manera predominante, la mala higiene bucodental y la exposición insuficiente al flúor tienen efectos negativos en la salud bucodental.</w:t>
      </w: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Derivado de lo anterior, la Organización Mundial de la Salud considera necesario fortalecer las medidas de prevención de enfermedades bucodentales, entre otros mecanismos, a través del fomento del cepillado correcto, la</w:t>
      </w:r>
      <w:r w:rsidRPr="00F11BAC">
        <w:rPr>
          <w:rFonts w:ascii="Arial" w:eastAsia="Times New Roman" w:hAnsi="Arial" w:cs="Arial"/>
          <w:b/>
          <w:bCs/>
          <w:color w:val="000000" w:themeColor="text1"/>
          <w:sz w:val="24"/>
          <w:szCs w:val="24"/>
          <w:lang w:eastAsia="es-ES"/>
        </w:rPr>
        <w:t xml:space="preserve"> </w:t>
      </w:r>
      <w:r w:rsidRPr="00F11BAC">
        <w:rPr>
          <w:rFonts w:ascii="Arial" w:eastAsia="Times New Roman" w:hAnsi="Arial" w:cs="Arial"/>
          <w:color w:val="000000" w:themeColor="text1"/>
          <w:sz w:val="24"/>
          <w:szCs w:val="24"/>
          <w:lang w:eastAsia="es-ES"/>
        </w:rPr>
        <w:t>reglamentación de la comercialización y promoción de alimentos azucarados para niños, el fomento de entornos saludables, como ciudades y lugares de trabajo saludables, así como de escuelas que promuevan la salud bucodental, por ello, mediante el Programa Mundial sobre Salud Bucodental armoniza sus actividades con la agenda mundial relativa a las enfermedades no transmisibles y la Declaración de Shangai sobre la Promoción de la Salud en la Agenda 2030 para el Desarrollo Sostenible y propone a los Estados,  fortalecer su compromiso en las instancias normativas y otras partes interesadas a escala mundial, con la salud bucodental.</w:t>
      </w: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p>
    <w:p w:rsidR="00F11BAC"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En México, la Ley General de Salud en su artículo 27 en su fracción VII, reconoce que el derecho a la protección de la salud, debe considerar entre otros servicios básicos, la prevención y control de las enfermedades bucales, no obstante lo cual, de acuerdo con el Sistema de Vigilancia Epidemiológica de Patologías Bucales de la Secretaría de Salud, en materia de salud bucodental, los indicadores muestran la necesidad de fortalecer las medidas de salud bucodental, al reportar que:</w:t>
      </w:r>
    </w:p>
    <w:p w:rsidR="003C4CF1" w:rsidRPr="00F11BAC" w:rsidRDefault="003C4CF1" w:rsidP="00F11BAC">
      <w:pPr>
        <w:spacing w:after="0" w:line="360" w:lineRule="auto"/>
        <w:jc w:val="both"/>
        <w:rPr>
          <w:rFonts w:ascii="Arial" w:eastAsia="Times New Roman" w:hAnsi="Arial" w:cs="Arial"/>
          <w:color w:val="000000" w:themeColor="text1"/>
          <w:sz w:val="24"/>
          <w:szCs w:val="24"/>
          <w:lang w:eastAsia="es-ES"/>
        </w:rPr>
      </w:pP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 xml:space="preserve">7 de cada 10 infantes (2 a 5 años de edad) que acuden a los servicios de salud tienen caries dental y en 1 de cada 3 la condición es severa. </w:t>
      </w: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 xml:space="preserve">Los niños y adolescentes llegan a los servicios de salud con 5 dientes afectados por caries dental y solo uno ha sido rehabilitado. </w:t>
      </w: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 xml:space="preserve">De los adolescentes que asisten a los servicios de salud 8 de cada 10 tienen un periodonto sano. </w:t>
      </w:r>
    </w:p>
    <w:p w:rsidR="003E6068"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En los últimos cuatro años el 40% de los adultos usuarios (35 a 44 años de edad) tienen un periodonto sano. Entre los adultos mayores (65 a 74 años de edad) se reduce considerablemente la proporción de adultos sanos 30% aproximadamente.</w:t>
      </w: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 xml:space="preserve">Alrededor de 7 de cada 10 adultos mayores mantienen una oclusión funcional (20 dientes naturales presentes). </w:t>
      </w: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 xml:space="preserve">Como sucede con todas las enfermedades crónicas, la demanda de los servicios de salud odontológicos en el sector público es alta, por lo que el tiempo de espera para un tratamiento integral es largo. Esto conlleva a un mayor deterioro en la salud oral de modo que cuando finalmente se asiste a consulta, el estado del paciente es más comprometido que cuando la atención se solicitó inicialmente, hasta el punto de buscar atención de emergencia para el alivio del dolor. </w:t>
      </w: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 xml:space="preserve">El alto nivel de atención de emergencia entre los pacientes del sector público restringe las opciones de tratamiento que están disponibles y pueden dar lugar a la resolución rápida del problema mediante la extracción dental. </w:t>
      </w:r>
    </w:p>
    <w:p w:rsidR="00F11BAC" w:rsidRPr="00F11BAC" w:rsidRDefault="00F11BAC" w:rsidP="00F11BAC">
      <w:pPr>
        <w:numPr>
          <w:ilvl w:val="0"/>
          <w:numId w:val="1"/>
        </w:num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Si bien hay que trabajar en mejorar el acceso a los servicios odontológicos para el control de las enfermedades bucales, no hay que perder de vista que la piedra angular para reducir las enfermedades bucales es la promoción y la prevención, se deben reforzar aún más las acciones encaminadas a este fin, principalmente en los grupos más vulnerables.</w:t>
      </w:r>
      <w:r w:rsidRPr="00F11BAC">
        <w:rPr>
          <w:rFonts w:ascii="Arial" w:eastAsia="Times New Roman" w:hAnsi="Arial" w:cs="Arial"/>
          <w:color w:val="000000" w:themeColor="text1"/>
          <w:sz w:val="24"/>
          <w:szCs w:val="24"/>
          <w:vertAlign w:val="superscript"/>
          <w:lang w:eastAsia="es-ES"/>
        </w:rPr>
        <w:footnoteReference w:id="3"/>
      </w:r>
    </w:p>
    <w:p w:rsidR="00F11BAC" w:rsidRPr="00F11BAC" w:rsidRDefault="00F11BAC" w:rsidP="00F11BAC">
      <w:pPr>
        <w:spacing w:after="0" w:line="360" w:lineRule="auto"/>
        <w:jc w:val="both"/>
        <w:rPr>
          <w:rFonts w:ascii="Arial" w:eastAsia="Times New Roman" w:hAnsi="Arial" w:cs="Arial"/>
          <w:color w:val="000000" w:themeColor="text1"/>
          <w:sz w:val="24"/>
          <w:szCs w:val="24"/>
          <w:lang w:eastAsia="es-ES"/>
        </w:rPr>
      </w:pPr>
    </w:p>
    <w:p w:rsidR="00B52966" w:rsidRDefault="00716C8E" w:rsidP="00F11BAC">
      <w:pPr>
        <w:spacing w:after="0" w:line="360" w:lineRule="auto"/>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Por lo que respecta a Coahuila, la Ley Estatal de Salud, prevé dentro de los Servicios Básicos de Salud la salud bucodental</w:t>
      </w:r>
      <w:r w:rsidR="00B52966">
        <w:rPr>
          <w:rFonts w:ascii="Arial" w:eastAsia="Times New Roman" w:hAnsi="Arial" w:cs="Arial"/>
          <w:color w:val="000000" w:themeColor="text1"/>
          <w:sz w:val="24"/>
          <w:szCs w:val="24"/>
          <w:lang w:eastAsia="es-ES"/>
        </w:rPr>
        <w:t>, estableciendo en el artículo 29</w:t>
      </w:r>
      <w:r w:rsidR="009655C2">
        <w:rPr>
          <w:rFonts w:ascii="Arial" w:eastAsia="Times New Roman" w:hAnsi="Arial" w:cs="Arial"/>
          <w:color w:val="000000" w:themeColor="text1"/>
          <w:sz w:val="24"/>
          <w:szCs w:val="24"/>
          <w:lang w:eastAsia="es-ES"/>
        </w:rPr>
        <w:t xml:space="preserve"> fracción VII</w:t>
      </w:r>
      <w:r w:rsidR="00021DC7">
        <w:rPr>
          <w:rFonts w:ascii="Arial" w:eastAsia="Times New Roman" w:hAnsi="Arial" w:cs="Arial"/>
          <w:color w:val="000000" w:themeColor="text1"/>
          <w:sz w:val="24"/>
          <w:szCs w:val="24"/>
          <w:lang w:eastAsia="es-ES"/>
        </w:rPr>
        <w:t xml:space="preserve"> que </w:t>
      </w:r>
      <w:r w:rsidR="00021DC7" w:rsidRPr="00021DC7">
        <w:rPr>
          <w:rFonts w:ascii="Arial" w:eastAsia="Times New Roman" w:hAnsi="Arial" w:cs="Arial"/>
          <w:color w:val="000000" w:themeColor="text1"/>
          <w:sz w:val="24"/>
          <w:szCs w:val="24"/>
          <w:lang w:val="es-ES_tradnl" w:eastAsia="es-ES"/>
        </w:rPr>
        <w:t>se consideran servicios básicos de salud los referentes</w:t>
      </w:r>
      <w:r w:rsidR="00021DC7" w:rsidRPr="00021DC7">
        <w:rPr>
          <w:rFonts w:ascii="Arial Narrow" w:eastAsia="Times New Roman" w:hAnsi="Arial Narrow" w:cs="Times New Roman"/>
          <w:sz w:val="20"/>
          <w:szCs w:val="20"/>
          <w:lang w:val="es-ES_tradnl" w:eastAsia="es-ES"/>
        </w:rPr>
        <w:t xml:space="preserve"> </w:t>
      </w:r>
      <w:r w:rsidR="00021DC7" w:rsidRPr="00021DC7">
        <w:rPr>
          <w:rFonts w:ascii="Arial" w:eastAsia="Times New Roman" w:hAnsi="Arial" w:cs="Arial"/>
          <w:color w:val="000000" w:themeColor="text1"/>
          <w:sz w:val="24"/>
          <w:szCs w:val="24"/>
          <w:lang w:val="es-ES_tradnl" w:eastAsia="es-ES"/>
        </w:rPr>
        <w:tab/>
      </w:r>
      <w:r w:rsidR="00021DC7">
        <w:rPr>
          <w:rFonts w:ascii="Arial" w:eastAsia="Times New Roman" w:hAnsi="Arial" w:cs="Arial"/>
          <w:color w:val="000000" w:themeColor="text1"/>
          <w:sz w:val="24"/>
          <w:szCs w:val="24"/>
          <w:lang w:val="es-ES_tradnl" w:eastAsia="es-ES"/>
        </w:rPr>
        <w:t>a l</w:t>
      </w:r>
      <w:r w:rsidR="00021DC7" w:rsidRPr="00021DC7">
        <w:rPr>
          <w:rFonts w:ascii="Arial" w:eastAsia="Times New Roman" w:hAnsi="Arial" w:cs="Arial"/>
          <w:color w:val="000000" w:themeColor="text1"/>
          <w:sz w:val="24"/>
          <w:szCs w:val="24"/>
          <w:lang w:val="es-ES_tradnl" w:eastAsia="es-ES"/>
        </w:rPr>
        <w:t>a prevención y el control de las enfermedades bucodentales</w:t>
      </w:r>
      <w:r w:rsidR="00021DC7">
        <w:rPr>
          <w:rFonts w:ascii="Arial" w:eastAsia="Times New Roman" w:hAnsi="Arial" w:cs="Arial"/>
          <w:color w:val="000000" w:themeColor="text1"/>
          <w:sz w:val="24"/>
          <w:szCs w:val="24"/>
          <w:lang w:val="es-ES_tradnl" w:eastAsia="es-ES"/>
        </w:rPr>
        <w:t xml:space="preserve">, sin embargo en dicho ordenamiento no se establece cuáles son las acciones o como se cubrirá la prevención y el control de estas enfermedades, tal y como se establece en los demás servicios básicos de salud como lo son, la salud materno infantil, la salud mental, la planificación familiar, la prevención y control de adicciones, etc. </w:t>
      </w:r>
    </w:p>
    <w:p w:rsidR="00F11BAC" w:rsidRPr="00F11BAC" w:rsidRDefault="00716C8E" w:rsidP="00F11BAC">
      <w:pPr>
        <w:spacing w:after="0" w:line="360" w:lineRule="auto"/>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p>
    <w:p w:rsidR="00021DC7" w:rsidRDefault="00F11BAC" w:rsidP="00F11BAC">
      <w:pPr>
        <w:spacing w:after="0" w:line="360" w:lineRule="auto"/>
        <w:jc w:val="both"/>
        <w:rPr>
          <w:rFonts w:ascii="Arial" w:eastAsia="Times New Roman" w:hAnsi="Arial" w:cs="Arial"/>
          <w:color w:val="000000" w:themeColor="text1"/>
          <w:sz w:val="24"/>
          <w:szCs w:val="24"/>
          <w:lang w:eastAsia="es-ES"/>
        </w:rPr>
      </w:pPr>
      <w:r w:rsidRPr="00F11BAC">
        <w:rPr>
          <w:rFonts w:ascii="Arial" w:eastAsia="Times New Roman" w:hAnsi="Arial" w:cs="Arial"/>
          <w:color w:val="000000" w:themeColor="text1"/>
          <w:sz w:val="24"/>
          <w:szCs w:val="24"/>
          <w:lang w:eastAsia="es-ES"/>
        </w:rPr>
        <w:t>En este contexto, sin duda alguna es importante mantener una adecuada higiene bucal desde la infancia, creando hábitos positivos en los niños, para no enfrentar posteriormente las enfermedades que se derivan del descuido y de no lavarse los dientes de la manera correcta, por ello, hoy se propone reformar la Ley</w:t>
      </w:r>
      <w:r w:rsidR="00021DC7">
        <w:rPr>
          <w:rFonts w:ascii="Arial" w:eastAsia="Times New Roman" w:hAnsi="Arial" w:cs="Arial"/>
          <w:color w:val="000000" w:themeColor="text1"/>
          <w:sz w:val="24"/>
          <w:szCs w:val="24"/>
          <w:lang w:eastAsia="es-ES"/>
        </w:rPr>
        <w:t xml:space="preserve"> Estatal de</w:t>
      </w:r>
      <w:r w:rsidRPr="00F11BAC">
        <w:rPr>
          <w:rFonts w:ascii="Arial" w:eastAsia="Times New Roman" w:hAnsi="Arial" w:cs="Arial"/>
          <w:color w:val="000000" w:themeColor="text1"/>
          <w:sz w:val="24"/>
          <w:szCs w:val="24"/>
          <w:lang w:eastAsia="es-ES"/>
        </w:rPr>
        <w:t xml:space="preserve"> Salud de</w:t>
      </w:r>
      <w:r w:rsidR="00021DC7">
        <w:rPr>
          <w:rFonts w:ascii="Arial" w:eastAsia="Times New Roman" w:hAnsi="Arial" w:cs="Arial"/>
          <w:color w:val="000000" w:themeColor="text1"/>
          <w:sz w:val="24"/>
          <w:szCs w:val="24"/>
          <w:lang w:eastAsia="es-ES"/>
        </w:rPr>
        <w:t xml:space="preserve"> Coahuila</w:t>
      </w:r>
      <w:r w:rsidRPr="00F11BAC">
        <w:rPr>
          <w:rFonts w:ascii="Arial" w:eastAsia="Times New Roman" w:hAnsi="Arial" w:cs="Arial"/>
          <w:color w:val="000000" w:themeColor="text1"/>
          <w:sz w:val="24"/>
          <w:szCs w:val="24"/>
          <w:lang w:eastAsia="es-ES"/>
        </w:rPr>
        <w:t>, a efecto de establecer expresamente</w:t>
      </w:r>
      <w:r w:rsidR="00021DC7">
        <w:rPr>
          <w:rFonts w:ascii="Arial" w:eastAsia="Times New Roman" w:hAnsi="Arial" w:cs="Arial"/>
          <w:color w:val="000000" w:themeColor="text1"/>
          <w:sz w:val="24"/>
          <w:szCs w:val="24"/>
          <w:lang w:eastAsia="es-ES"/>
        </w:rPr>
        <w:t xml:space="preserve"> las acciones que se realizan a favor de la prevención y control de las enfermedades bucodentales.</w:t>
      </w:r>
    </w:p>
    <w:p w:rsidR="00021DC7" w:rsidRDefault="00021DC7" w:rsidP="00F11BAC">
      <w:pPr>
        <w:spacing w:after="0" w:line="360" w:lineRule="auto"/>
        <w:jc w:val="both"/>
        <w:rPr>
          <w:rFonts w:ascii="Arial" w:eastAsia="Times New Roman" w:hAnsi="Arial" w:cs="Arial"/>
          <w:color w:val="000000" w:themeColor="text1"/>
          <w:sz w:val="24"/>
          <w:szCs w:val="24"/>
          <w:lang w:eastAsia="es-ES"/>
        </w:rPr>
      </w:pPr>
    </w:p>
    <w:p w:rsidR="000E2052" w:rsidRDefault="00021DC7" w:rsidP="00F11BAC">
      <w:pPr>
        <w:spacing w:after="0" w:line="360" w:lineRule="auto"/>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Cabe señalar que la iniciativa que aquí se propone, no representa impacto presupuestal,</w:t>
      </w:r>
      <w:r w:rsidR="00A50AC0">
        <w:rPr>
          <w:rFonts w:ascii="Arial" w:eastAsia="Times New Roman" w:hAnsi="Arial" w:cs="Arial"/>
          <w:color w:val="000000" w:themeColor="text1"/>
          <w:sz w:val="24"/>
          <w:szCs w:val="24"/>
          <w:lang w:eastAsia="es-ES"/>
        </w:rPr>
        <w:t xml:space="preserve"> ya que las acciones que se pretenden incluir en la legislación estatal, se realizan</w:t>
      </w:r>
      <w:r w:rsidR="000E2052">
        <w:rPr>
          <w:rFonts w:ascii="Arial" w:eastAsia="Times New Roman" w:hAnsi="Arial" w:cs="Arial"/>
          <w:color w:val="000000" w:themeColor="text1"/>
          <w:sz w:val="24"/>
          <w:szCs w:val="24"/>
          <w:lang w:eastAsia="es-ES"/>
        </w:rPr>
        <w:t xml:space="preserve"> por parte del Gobierno del Estado a través de la Secretaría de Salud, teniendo alrededor de 150 odontólogos laborando en dicha dependencia, además de llevar acabo cerca de 42 mil consultas por año.</w:t>
      </w:r>
      <w:r w:rsidR="00B57805">
        <w:rPr>
          <w:rFonts w:ascii="Arial" w:eastAsia="Times New Roman" w:hAnsi="Arial" w:cs="Arial"/>
          <w:color w:val="000000" w:themeColor="text1"/>
          <w:sz w:val="24"/>
          <w:szCs w:val="24"/>
          <w:lang w:eastAsia="es-ES"/>
        </w:rPr>
        <w:t xml:space="preserve"> Además de lo anterior antes de la pandemia se realizaban campañas de información en las escuelas de educación básica del estado en las cuales se les regalaban a estudiantes kits básicos de cuidado bucal.</w:t>
      </w:r>
    </w:p>
    <w:p w:rsidR="00B57805" w:rsidRDefault="00B57805" w:rsidP="00F11BAC">
      <w:pPr>
        <w:spacing w:after="0" w:line="360" w:lineRule="auto"/>
        <w:jc w:val="both"/>
        <w:rPr>
          <w:rFonts w:ascii="Arial" w:eastAsia="Times New Roman" w:hAnsi="Arial" w:cs="Arial"/>
          <w:color w:val="000000" w:themeColor="text1"/>
          <w:sz w:val="24"/>
          <w:szCs w:val="24"/>
          <w:lang w:eastAsia="es-ES"/>
        </w:rPr>
      </w:pPr>
    </w:p>
    <w:p w:rsidR="00F11BAC" w:rsidRPr="00F11BAC" w:rsidRDefault="00B57805" w:rsidP="00F11BAC">
      <w:pPr>
        <w:spacing w:after="0" w:line="360" w:lineRule="auto"/>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En resumen, lo que se pretende con esta iniciativa es reforzar las acciones tendientes a la prevención y control de enfermedades bucodentales, además de que </w:t>
      </w:r>
      <w:r w:rsidR="00F11BAC" w:rsidRPr="00F11BAC">
        <w:rPr>
          <w:rFonts w:ascii="Arial" w:eastAsia="Times New Roman" w:hAnsi="Arial" w:cs="Arial"/>
          <w:color w:val="000000" w:themeColor="text1"/>
          <w:sz w:val="24"/>
          <w:szCs w:val="24"/>
          <w:lang w:eastAsia="es-ES"/>
        </w:rPr>
        <w:t>se considere la coordinación con la Secretaría de Educación Pública del Estado a efecto de que se realicen campañas permanentes para fomentar hábitos de higiene dental adecuada, como un elemento de formación para niñas y niños desde edad temprana que a la postre, permite elevar la calidad de vida de todos, e incluso, coadyuvar para que los recursos del Estado, dejen de utilizarse para la atención de enfermedades bucales prevenibles mediante una correcta higiene bucal, y puedan ser canalizados a otras áreas también prioritarias.</w:t>
      </w:r>
    </w:p>
    <w:p w:rsidR="007842CB" w:rsidRDefault="007842CB" w:rsidP="00562E5F">
      <w:pPr>
        <w:spacing w:after="0" w:line="240" w:lineRule="auto"/>
        <w:jc w:val="both"/>
        <w:rPr>
          <w:rFonts w:ascii="Arial" w:eastAsia="Times New Roman" w:hAnsi="Arial" w:cs="Arial"/>
          <w:sz w:val="24"/>
          <w:szCs w:val="24"/>
          <w:lang w:eastAsia="es-MX"/>
        </w:rPr>
      </w:pPr>
    </w:p>
    <w:p w:rsidR="000A567C" w:rsidRDefault="00562E5F" w:rsidP="000A567C">
      <w:pPr>
        <w:spacing w:after="0" w:line="360" w:lineRule="auto"/>
        <w:jc w:val="both"/>
        <w:rPr>
          <w:rFonts w:ascii="Arial" w:eastAsia="Times New Roman" w:hAnsi="Arial" w:cs="Arial"/>
          <w:b/>
          <w:color w:val="000000" w:themeColor="text1"/>
          <w:sz w:val="24"/>
          <w:szCs w:val="24"/>
          <w:lang w:eastAsia="es-ES"/>
        </w:rPr>
      </w:pPr>
      <w:r w:rsidRPr="00562E5F">
        <w:rPr>
          <w:rFonts w:ascii="Arial" w:eastAsia="Times New Roman" w:hAnsi="Arial" w:cs="Arial"/>
          <w:color w:val="000000" w:themeColor="text1"/>
          <w:sz w:val="24"/>
          <w:szCs w:val="24"/>
          <w:lang w:eastAsia="es-ES"/>
        </w:rPr>
        <w:t>En virtud de lo anterior,</w:t>
      </w:r>
      <w:r w:rsidR="00920105">
        <w:rPr>
          <w:rFonts w:ascii="Arial" w:eastAsia="Times New Roman" w:hAnsi="Arial" w:cs="Arial"/>
          <w:color w:val="000000" w:themeColor="text1"/>
          <w:sz w:val="24"/>
          <w:szCs w:val="24"/>
          <w:lang w:eastAsia="es-ES"/>
        </w:rPr>
        <w:t xml:space="preserve"> es que</w:t>
      </w:r>
      <w:r w:rsidRPr="00562E5F">
        <w:rPr>
          <w:rFonts w:ascii="Arial" w:eastAsia="Times New Roman" w:hAnsi="Arial" w:cs="Arial"/>
          <w:color w:val="000000" w:themeColor="text1"/>
          <w:sz w:val="24"/>
          <w:szCs w:val="24"/>
          <w:lang w:eastAsia="es-ES"/>
        </w:rPr>
        <w:t xml:space="preserve"> ponemos a la consideración de este H. Pleno del Congreso, el siguiente:</w:t>
      </w:r>
    </w:p>
    <w:p w:rsidR="00B57805" w:rsidRDefault="00B57805" w:rsidP="00562E5F">
      <w:pPr>
        <w:spacing w:after="0" w:line="240" w:lineRule="auto"/>
        <w:jc w:val="center"/>
        <w:rPr>
          <w:rFonts w:ascii="Arial" w:eastAsia="Times New Roman" w:hAnsi="Arial" w:cs="Arial"/>
          <w:b/>
          <w:color w:val="000000" w:themeColor="text1"/>
          <w:sz w:val="24"/>
          <w:szCs w:val="24"/>
          <w:lang w:eastAsia="es-ES"/>
        </w:rPr>
      </w:pPr>
    </w:p>
    <w:p w:rsidR="00B57805" w:rsidRDefault="00B57805" w:rsidP="00562E5F">
      <w:pPr>
        <w:spacing w:after="0" w:line="240" w:lineRule="auto"/>
        <w:jc w:val="center"/>
        <w:rPr>
          <w:rFonts w:ascii="Arial" w:eastAsia="Times New Roman" w:hAnsi="Arial" w:cs="Arial"/>
          <w:b/>
          <w:color w:val="000000" w:themeColor="text1"/>
          <w:sz w:val="24"/>
          <w:szCs w:val="24"/>
          <w:lang w:eastAsia="es-ES"/>
        </w:rPr>
      </w:pPr>
    </w:p>
    <w:p w:rsidR="00F325C0" w:rsidRDefault="00F325C0" w:rsidP="00562E5F">
      <w:pPr>
        <w:spacing w:after="0" w:line="240" w:lineRule="auto"/>
        <w:jc w:val="center"/>
        <w:rPr>
          <w:rFonts w:ascii="Arial" w:eastAsia="Times New Roman" w:hAnsi="Arial" w:cs="Arial"/>
          <w:b/>
          <w:color w:val="000000" w:themeColor="text1"/>
          <w:sz w:val="24"/>
          <w:szCs w:val="24"/>
          <w:lang w:eastAsia="es-ES"/>
        </w:rPr>
      </w:pPr>
    </w:p>
    <w:p w:rsidR="00562E5F" w:rsidRPr="00F325C0" w:rsidRDefault="00562E5F" w:rsidP="00562E5F">
      <w:pPr>
        <w:spacing w:after="0" w:line="240" w:lineRule="auto"/>
        <w:jc w:val="center"/>
        <w:rPr>
          <w:rFonts w:ascii="Arial" w:eastAsia="Times New Roman" w:hAnsi="Arial" w:cs="Arial"/>
          <w:b/>
          <w:bCs/>
          <w:color w:val="000000" w:themeColor="text1"/>
          <w:sz w:val="24"/>
          <w:szCs w:val="24"/>
          <w:lang w:eastAsia="es-ES"/>
        </w:rPr>
      </w:pPr>
      <w:r w:rsidRPr="00F325C0">
        <w:rPr>
          <w:rFonts w:ascii="Arial" w:eastAsia="Times New Roman" w:hAnsi="Arial" w:cs="Arial"/>
          <w:b/>
          <w:color w:val="000000" w:themeColor="text1"/>
          <w:sz w:val="24"/>
          <w:szCs w:val="24"/>
          <w:lang w:eastAsia="es-ES"/>
        </w:rPr>
        <w:t>PROYECTO DE DECRETO</w:t>
      </w:r>
    </w:p>
    <w:p w:rsidR="00562E5F" w:rsidRPr="00F325C0" w:rsidRDefault="00562E5F" w:rsidP="00562E5F">
      <w:pPr>
        <w:spacing w:after="0" w:line="240" w:lineRule="auto"/>
        <w:rPr>
          <w:rFonts w:ascii="Arial" w:eastAsia="Times New Roman" w:hAnsi="Arial" w:cs="Arial"/>
          <w:b/>
          <w:bCs/>
          <w:color w:val="000000" w:themeColor="text1"/>
          <w:sz w:val="24"/>
          <w:szCs w:val="24"/>
          <w:lang w:eastAsia="es-ES"/>
        </w:rPr>
      </w:pPr>
    </w:p>
    <w:p w:rsidR="00EC0541" w:rsidRPr="00F325C0" w:rsidRDefault="00EC0541" w:rsidP="00EC0541">
      <w:pPr>
        <w:spacing w:line="276" w:lineRule="auto"/>
        <w:jc w:val="both"/>
        <w:rPr>
          <w:rFonts w:ascii="Arial" w:eastAsia="Arial" w:hAnsi="Arial" w:cs="Arial"/>
          <w:sz w:val="24"/>
          <w:szCs w:val="24"/>
        </w:rPr>
      </w:pPr>
      <w:r w:rsidRPr="00F325C0">
        <w:rPr>
          <w:rFonts w:ascii="Arial" w:eastAsia="Arial" w:hAnsi="Arial" w:cs="Arial"/>
          <w:b/>
          <w:bCs/>
          <w:sz w:val="24"/>
          <w:szCs w:val="24"/>
        </w:rPr>
        <w:t xml:space="preserve">ÚNICO.- </w:t>
      </w:r>
      <w:r w:rsidRPr="00F325C0">
        <w:rPr>
          <w:rFonts w:ascii="Arial" w:eastAsia="Arial" w:hAnsi="Arial" w:cs="Arial"/>
          <w:sz w:val="24"/>
          <w:szCs w:val="24"/>
        </w:rPr>
        <w:t xml:space="preserve">Se adiciona el Capítulo </w:t>
      </w:r>
      <w:r w:rsidR="00D5537D" w:rsidRPr="00F325C0">
        <w:rPr>
          <w:rFonts w:ascii="Arial" w:eastAsia="Arial" w:hAnsi="Arial" w:cs="Arial"/>
          <w:sz w:val="24"/>
          <w:szCs w:val="24"/>
        </w:rPr>
        <w:t>IX</w:t>
      </w:r>
      <w:r w:rsidRPr="00F325C0">
        <w:rPr>
          <w:rFonts w:ascii="Arial" w:eastAsia="Arial" w:hAnsi="Arial" w:cs="Arial"/>
          <w:sz w:val="24"/>
          <w:szCs w:val="24"/>
        </w:rPr>
        <w:t xml:space="preserve">, </w:t>
      </w:r>
      <w:r w:rsidR="00D5537D" w:rsidRPr="00F325C0">
        <w:rPr>
          <w:rFonts w:ascii="Arial" w:eastAsia="Arial" w:hAnsi="Arial" w:cs="Arial"/>
          <w:sz w:val="24"/>
          <w:szCs w:val="24"/>
        </w:rPr>
        <w:t>Prevención y Control de las Enfermedades Bucodentales</w:t>
      </w:r>
      <w:r w:rsidRPr="00F325C0">
        <w:rPr>
          <w:rFonts w:ascii="Arial" w:eastAsia="Arial" w:hAnsi="Arial" w:cs="Arial"/>
          <w:sz w:val="24"/>
          <w:szCs w:val="24"/>
        </w:rPr>
        <w:t xml:space="preserve">, al Título </w:t>
      </w:r>
      <w:r w:rsidR="00D5537D" w:rsidRPr="00F325C0">
        <w:rPr>
          <w:rFonts w:ascii="Arial" w:eastAsia="Arial" w:hAnsi="Arial" w:cs="Arial"/>
          <w:sz w:val="24"/>
          <w:szCs w:val="24"/>
        </w:rPr>
        <w:t>Tercero de la Prestación de los Servicios de Salud</w:t>
      </w:r>
      <w:r w:rsidRPr="00F325C0">
        <w:rPr>
          <w:rFonts w:ascii="Arial" w:eastAsia="Arial" w:hAnsi="Arial" w:cs="Arial"/>
          <w:sz w:val="24"/>
          <w:szCs w:val="24"/>
        </w:rPr>
        <w:t xml:space="preserve">, y el artículo </w:t>
      </w:r>
      <w:r w:rsidR="00D5537D" w:rsidRPr="00F325C0">
        <w:rPr>
          <w:rFonts w:ascii="Arial" w:eastAsia="Arial" w:hAnsi="Arial" w:cs="Arial"/>
          <w:sz w:val="24"/>
          <w:szCs w:val="24"/>
        </w:rPr>
        <w:t>70 bis 2</w:t>
      </w:r>
      <w:r w:rsidRPr="00F325C0">
        <w:rPr>
          <w:rFonts w:ascii="Arial" w:eastAsia="Arial" w:hAnsi="Arial" w:cs="Arial"/>
          <w:sz w:val="24"/>
          <w:szCs w:val="24"/>
        </w:rPr>
        <w:t xml:space="preserve"> a</w:t>
      </w:r>
      <w:r w:rsidR="00D5537D" w:rsidRPr="00F325C0">
        <w:rPr>
          <w:rFonts w:ascii="Arial" w:eastAsia="Arial" w:hAnsi="Arial" w:cs="Arial"/>
          <w:sz w:val="24"/>
          <w:szCs w:val="24"/>
        </w:rPr>
        <w:t xml:space="preserve"> </w:t>
      </w:r>
      <w:r w:rsidRPr="00F325C0">
        <w:rPr>
          <w:rFonts w:ascii="Arial" w:eastAsia="Arial" w:hAnsi="Arial" w:cs="Arial"/>
          <w:sz w:val="24"/>
          <w:szCs w:val="24"/>
        </w:rPr>
        <w:t>l</w:t>
      </w:r>
      <w:r w:rsidR="00D5537D" w:rsidRPr="00F325C0">
        <w:rPr>
          <w:rFonts w:ascii="Arial" w:eastAsia="Arial" w:hAnsi="Arial" w:cs="Arial"/>
          <w:sz w:val="24"/>
          <w:szCs w:val="24"/>
        </w:rPr>
        <w:t>a Ley Estatal de Salud</w:t>
      </w:r>
      <w:r w:rsidRPr="00F325C0">
        <w:rPr>
          <w:rFonts w:ascii="Arial" w:eastAsia="Arial" w:hAnsi="Arial" w:cs="Arial"/>
          <w:sz w:val="24"/>
          <w:szCs w:val="24"/>
        </w:rPr>
        <w:t>, para quedar como sigue:</w:t>
      </w:r>
    </w:p>
    <w:p w:rsidR="00F325C0" w:rsidRPr="00F325C0" w:rsidRDefault="00F325C0" w:rsidP="000A567C">
      <w:pPr>
        <w:spacing w:after="0" w:line="240" w:lineRule="auto"/>
        <w:jc w:val="center"/>
        <w:rPr>
          <w:rFonts w:ascii="Arial" w:hAnsi="Arial" w:cs="Arial"/>
          <w:b/>
          <w:sz w:val="24"/>
          <w:szCs w:val="24"/>
        </w:rPr>
      </w:pPr>
    </w:p>
    <w:p w:rsidR="00EC0541" w:rsidRPr="00F325C0" w:rsidRDefault="00EC0541" w:rsidP="000A567C">
      <w:pPr>
        <w:spacing w:after="0" w:line="240" w:lineRule="auto"/>
        <w:jc w:val="center"/>
        <w:rPr>
          <w:rFonts w:ascii="Arial" w:hAnsi="Arial" w:cs="Arial"/>
          <w:b/>
          <w:sz w:val="24"/>
          <w:szCs w:val="24"/>
        </w:rPr>
      </w:pPr>
      <w:r w:rsidRPr="00F325C0">
        <w:rPr>
          <w:rFonts w:ascii="Arial" w:hAnsi="Arial" w:cs="Arial"/>
          <w:b/>
          <w:sz w:val="24"/>
          <w:szCs w:val="24"/>
        </w:rPr>
        <w:t xml:space="preserve">CAPÍTULO </w:t>
      </w:r>
      <w:r w:rsidR="00D5537D" w:rsidRPr="00F325C0">
        <w:rPr>
          <w:rFonts w:ascii="Arial" w:hAnsi="Arial" w:cs="Arial"/>
          <w:b/>
          <w:sz w:val="24"/>
          <w:szCs w:val="24"/>
        </w:rPr>
        <w:t>IX</w:t>
      </w:r>
      <w:r w:rsidRPr="00F325C0">
        <w:rPr>
          <w:rFonts w:ascii="Arial" w:hAnsi="Arial" w:cs="Arial"/>
          <w:b/>
          <w:sz w:val="24"/>
          <w:szCs w:val="24"/>
        </w:rPr>
        <w:t xml:space="preserve"> </w:t>
      </w:r>
    </w:p>
    <w:p w:rsidR="00EC0541" w:rsidRPr="00F325C0" w:rsidRDefault="00D5537D" w:rsidP="000A567C">
      <w:pPr>
        <w:spacing w:after="0" w:line="240" w:lineRule="auto"/>
        <w:jc w:val="center"/>
        <w:rPr>
          <w:rFonts w:ascii="Arial" w:hAnsi="Arial" w:cs="Arial"/>
          <w:b/>
          <w:sz w:val="24"/>
          <w:szCs w:val="24"/>
        </w:rPr>
      </w:pPr>
      <w:r w:rsidRPr="00F325C0">
        <w:rPr>
          <w:rFonts w:ascii="Arial" w:hAnsi="Arial" w:cs="Arial"/>
          <w:b/>
          <w:sz w:val="24"/>
          <w:szCs w:val="24"/>
        </w:rPr>
        <w:t>PREVENCIÓN Y CONTROL DE LAS ENFERMEDADES BUCODENTALES</w:t>
      </w:r>
    </w:p>
    <w:p w:rsidR="00D5537D" w:rsidRPr="00F325C0" w:rsidRDefault="00D5537D" w:rsidP="00D5537D">
      <w:pPr>
        <w:jc w:val="both"/>
        <w:rPr>
          <w:rFonts w:ascii="Arial" w:hAnsi="Arial" w:cs="Arial"/>
          <w:highlight w:val="yellow"/>
        </w:rPr>
      </w:pPr>
    </w:p>
    <w:p w:rsidR="00D5537D" w:rsidRPr="00F325C0" w:rsidRDefault="00D5537D" w:rsidP="00D5537D">
      <w:pPr>
        <w:jc w:val="both"/>
        <w:rPr>
          <w:rFonts w:ascii="Arial" w:hAnsi="Arial" w:cs="Arial"/>
          <w:sz w:val="24"/>
          <w:szCs w:val="24"/>
        </w:rPr>
      </w:pPr>
      <w:r w:rsidRPr="00F325C0">
        <w:rPr>
          <w:rFonts w:ascii="Arial" w:hAnsi="Arial" w:cs="Arial"/>
          <w:b/>
          <w:sz w:val="24"/>
          <w:szCs w:val="24"/>
        </w:rPr>
        <w:t>Artículo 71 Bis 2</w:t>
      </w:r>
      <w:r w:rsidRPr="00F325C0">
        <w:rPr>
          <w:rFonts w:ascii="Arial" w:hAnsi="Arial" w:cs="Arial"/>
          <w:sz w:val="24"/>
          <w:szCs w:val="24"/>
        </w:rPr>
        <w:t>.- La prevención y Control de Enfermedades Bucodentales tiene carácter prioritario y comprende las siguientes acciones:</w:t>
      </w:r>
    </w:p>
    <w:p w:rsidR="00D5537D" w:rsidRPr="00F325C0" w:rsidRDefault="00D5537D" w:rsidP="00D5537D">
      <w:pPr>
        <w:jc w:val="both"/>
        <w:rPr>
          <w:rFonts w:ascii="Arial" w:hAnsi="Arial" w:cs="Arial"/>
          <w:sz w:val="24"/>
          <w:szCs w:val="24"/>
        </w:rPr>
      </w:pPr>
      <w:r w:rsidRPr="00F325C0">
        <w:rPr>
          <w:rFonts w:ascii="Arial" w:hAnsi="Arial" w:cs="Arial"/>
          <w:b/>
          <w:bCs/>
          <w:sz w:val="24"/>
          <w:szCs w:val="24"/>
        </w:rPr>
        <w:t>I.-</w:t>
      </w:r>
      <w:r w:rsidRPr="00F325C0">
        <w:rPr>
          <w:rFonts w:ascii="Arial" w:hAnsi="Arial" w:cs="Arial"/>
          <w:sz w:val="24"/>
          <w:szCs w:val="24"/>
        </w:rPr>
        <w:t xml:space="preserve"> La Atención de la Salud Bucodental. </w:t>
      </w:r>
    </w:p>
    <w:p w:rsidR="00D5537D" w:rsidRPr="00F325C0" w:rsidRDefault="00D5537D" w:rsidP="00D5537D">
      <w:pPr>
        <w:jc w:val="both"/>
        <w:rPr>
          <w:rFonts w:ascii="Arial" w:hAnsi="Arial" w:cs="Arial"/>
          <w:sz w:val="24"/>
          <w:szCs w:val="24"/>
        </w:rPr>
      </w:pPr>
      <w:r w:rsidRPr="00F325C0">
        <w:rPr>
          <w:rFonts w:ascii="Arial" w:hAnsi="Arial" w:cs="Arial"/>
          <w:b/>
          <w:bCs/>
          <w:sz w:val="24"/>
          <w:szCs w:val="24"/>
        </w:rPr>
        <w:t>II.-</w:t>
      </w:r>
      <w:r w:rsidRPr="00F325C0">
        <w:rPr>
          <w:rFonts w:ascii="Arial" w:hAnsi="Arial" w:cs="Arial"/>
          <w:sz w:val="24"/>
          <w:szCs w:val="24"/>
        </w:rPr>
        <w:t xml:space="preserve"> La promoción de las medidas de Prevención y Control de Enfermedades Bucodentales. </w:t>
      </w:r>
    </w:p>
    <w:p w:rsidR="00D5537D" w:rsidRPr="00F325C0" w:rsidRDefault="00D5537D" w:rsidP="00D5537D">
      <w:pPr>
        <w:jc w:val="both"/>
        <w:rPr>
          <w:rFonts w:ascii="Arial" w:hAnsi="Arial" w:cs="Arial"/>
          <w:sz w:val="24"/>
          <w:szCs w:val="24"/>
        </w:rPr>
      </w:pPr>
      <w:r w:rsidRPr="00F325C0">
        <w:rPr>
          <w:rFonts w:ascii="Arial" w:hAnsi="Arial" w:cs="Arial"/>
          <w:b/>
          <w:bCs/>
          <w:sz w:val="24"/>
          <w:szCs w:val="24"/>
        </w:rPr>
        <w:t>III.-</w:t>
      </w:r>
      <w:r w:rsidRPr="00F325C0">
        <w:rPr>
          <w:rFonts w:ascii="Arial" w:hAnsi="Arial" w:cs="Arial"/>
          <w:sz w:val="24"/>
          <w:szCs w:val="24"/>
        </w:rPr>
        <w:t xml:space="preserve"> La realización de Programas de Prevención y Control de Enfermedades Bucodentales. </w:t>
      </w:r>
    </w:p>
    <w:p w:rsidR="00D5537D" w:rsidRPr="00F325C0" w:rsidRDefault="00D5537D" w:rsidP="00D5537D">
      <w:pPr>
        <w:jc w:val="both"/>
        <w:rPr>
          <w:rFonts w:ascii="Arial" w:hAnsi="Arial" w:cs="Arial"/>
          <w:sz w:val="24"/>
          <w:szCs w:val="24"/>
        </w:rPr>
      </w:pPr>
      <w:r w:rsidRPr="00F325C0">
        <w:rPr>
          <w:rFonts w:ascii="Arial" w:hAnsi="Arial" w:cs="Arial"/>
          <w:b/>
          <w:bCs/>
          <w:sz w:val="24"/>
          <w:szCs w:val="24"/>
        </w:rPr>
        <w:t>IV.</w:t>
      </w:r>
      <w:r w:rsidR="00F325C0" w:rsidRPr="00F325C0">
        <w:rPr>
          <w:rFonts w:ascii="Arial" w:hAnsi="Arial" w:cs="Arial"/>
          <w:b/>
          <w:bCs/>
          <w:sz w:val="24"/>
          <w:szCs w:val="24"/>
        </w:rPr>
        <w:t>-</w:t>
      </w:r>
      <w:r w:rsidRPr="00F325C0">
        <w:rPr>
          <w:rFonts w:ascii="Arial" w:hAnsi="Arial" w:cs="Arial"/>
          <w:sz w:val="24"/>
          <w:szCs w:val="24"/>
        </w:rPr>
        <w:t xml:space="preserve">  La coordinación con la Secretaría de Educación del Estado a efecto de fomentar hábitos de higiene bucodental adecuados, como elemento de formación para niñas y niños de edad temprana, esto conforme a lo dispuesto en la Norma Oficial Mexicana respectiva.</w:t>
      </w:r>
    </w:p>
    <w:p w:rsidR="00AA533E" w:rsidRPr="00F325C0" w:rsidRDefault="00AA533E" w:rsidP="00AA533E">
      <w:pPr>
        <w:tabs>
          <w:tab w:val="left" w:pos="1080"/>
        </w:tabs>
        <w:spacing w:after="0" w:line="360" w:lineRule="auto"/>
        <w:jc w:val="both"/>
        <w:rPr>
          <w:rFonts w:ascii="Arial" w:hAnsi="Arial" w:cs="Arial"/>
          <w:sz w:val="24"/>
          <w:szCs w:val="24"/>
        </w:rPr>
      </w:pPr>
      <w:r w:rsidRPr="00F325C0">
        <w:rPr>
          <w:rFonts w:ascii="Arial" w:hAnsi="Arial" w:cs="Arial"/>
          <w:b/>
          <w:bCs/>
          <w:sz w:val="24"/>
          <w:szCs w:val="24"/>
        </w:rPr>
        <w:t>V.-</w:t>
      </w:r>
      <w:r w:rsidRPr="00F325C0">
        <w:rPr>
          <w:rFonts w:ascii="Arial" w:hAnsi="Arial" w:cs="Arial"/>
          <w:sz w:val="24"/>
          <w:szCs w:val="24"/>
        </w:rPr>
        <w:t xml:space="preserve"> Las demás acciones que directa o indirectamente contribuyan al fomento de la salud dental de la población.</w:t>
      </w:r>
    </w:p>
    <w:p w:rsidR="00D5537D" w:rsidRPr="00F325C0" w:rsidRDefault="00D5537D" w:rsidP="00002E22">
      <w:pPr>
        <w:tabs>
          <w:tab w:val="left" w:pos="1080"/>
        </w:tabs>
        <w:spacing w:after="0" w:line="360" w:lineRule="auto"/>
        <w:jc w:val="both"/>
        <w:rPr>
          <w:rFonts w:ascii="Arial" w:hAnsi="Arial" w:cs="Arial"/>
          <w:sz w:val="24"/>
          <w:szCs w:val="24"/>
        </w:rPr>
      </w:pPr>
    </w:p>
    <w:p w:rsidR="00562E5F" w:rsidRPr="00F325C0" w:rsidRDefault="00562E5F" w:rsidP="00F325C0">
      <w:pPr>
        <w:tabs>
          <w:tab w:val="left" w:pos="2820"/>
          <w:tab w:val="center" w:pos="4419"/>
        </w:tabs>
        <w:spacing w:after="0" w:line="360" w:lineRule="auto"/>
        <w:jc w:val="center"/>
        <w:rPr>
          <w:rFonts w:ascii="Arial" w:eastAsia="Times New Roman" w:hAnsi="Arial" w:cs="Arial"/>
          <w:b/>
          <w:color w:val="000000" w:themeColor="text1"/>
          <w:sz w:val="24"/>
          <w:szCs w:val="24"/>
          <w:lang w:val="en-US" w:eastAsia="es-ES"/>
        </w:rPr>
      </w:pPr>
      <w:r w:rsidRPr="00F325C0">
        <w:rPr>
          <w:rFonts w:ascii="Arial" w:eastAsia="Times New Roman" w:hAnsi="Arial" w:cs="Arial"/>
          <w:b/>
          <w:color w:val="000000" w:themeColor="text1"/>
          <w:sz w:val="24"/>
          <w:szCs w:val="24"/>
          <w:lang w:val="en-US" w:eastAsia="es-ES"/>
        </w:rPr>
        <w:t xml:space="preserve">T R A N S I T O R I O </w:t>
      </w:r>
    </w:p>
    <w:p w:rsidR="00F325C0" w:rsidRDefault="00562E5F" w:rsidP="00977F01">
      <w:pPr>
        <w:spacing w:after="0" w:line="360" w:lineRule="auto"/>
        <w:jc w:val="both"/>
        <w:rPr>
          <w:rFonts w:ascii="Arial" w:eastAsia="Times New Roman" w:hAnsi="Arial" w:cs="Arial"/>
          <w:color w:val="000000" w:themeColor="text1"/>
          <w:sz w:val="24"/>
          <w:szCs w:val="24"/>
          <w:lang w:eastAsia="es-ES"/>
        </w:rPr>
      </w:pPr>
      <w:r w:rsidRPr="00F325C0">
        <w:rPr>
          <w:rFonts w:ascii="Arial" w:eastAsia="Times New Roman" w:hAnsi="Arial" w:cs="Arial"/>
          <w:b/>
          <w:color w:val="000000" w:themeColor="text1"/>
          <w:sz w:val="24"/>
          <w:szCs w:val="24"/>
          <w:lang w:eastAsia="es-ES"/>
        </w:rPr>
        <w:t>ÚNICO. -</w:t>
      </w:r>
      <w:r w:rsidRPr="00F325C0">
        <w:rPr>
          <w:rFonts w:ascii="Arial" w:eastAsia="Times New Roman" w:hAnsi="Arial" w:cs="Arial"/>
          <w:color w:val="000000" w:themeColor="text1"/>
          <w:sz w:val="24"/>
          <w:szCs w:val="24"/>
          <w:lang w:eastAsia="es-ES"/>
        </w:rPr>
        <w:t xml:space="preserve"> El presente decreto, entrará en vigor al día siguiente de su publicación en el Periódico Oficial de Gobierno del Estado.</w:t>
      </w:r>
    </w:p>
    <w:p w:rsidR="00F325C0" w:rsidRDefault="00F325C0" w:rsidP="00F325C0">
      <w:pPr>
        <w:spacing w:after="0" w:line="240" w:lineRule="auto"/>
        <w:jc w:val="both"/>
        <w:rPr>
          <w:rFonts w:ascii="Arial" w:eastAsia="Times New Roman" w:hAnsi="Arial" w:cs="Arial"/>
          <w:color w:val="000000" w:themeColor="text1"/>
          <w:sz w:val="24"/>
          <w:szCs w:val="24"/>
          <w:lang w:eastAsia="es-ES"/>
        </w:rPr>
      </w:pPr>
    </w:p>
    <w:p w:rsidR="00F325C0" w:rsidRPr="00F325C0" w:rsidRDefault="00F325C0" w:rsidP="00F325C0">
      <w:pPr>
        <w:spacing w:after="0" w:line="240" w:lineRule="auto"/>
        <w:jc w:val="center"/>
        <w:rPr>
          <w:rFonts w:ascii="Arial" w:hAnsi="Arial" w:cs="Arial"/>
          <w:b/>
          <w:bCs/>
          <w:sz w:val="24"/>
          <w:szCs w:val="24"/>
          <w:lang w:eastAsia="es-ES"/>
        </w:rPr>
      </w:pPr>
      <w:r w:rsidRPr="00F325C0">
        <w:rPr>
          <w:rFonts w:ascii="Arial" w:hAnsi="Arial" w:cs="Arial"/>
          <w:b/>
          <w:bCs/>
          <w:sz w:val="24"/>
          <w:szCs w:val="24"/>
          <w:lang w:eastAsia="es-ES"/>
        </w:rPr>
        <w:t>A T E N T A M E N T E</w:t>
      </w:r>
    </w:p>
    <w:p w:rsidR="00F325C0" w:rsidRDefault="00F325C0" w:rsidP="00F325C0">
      <w:pPr>
        <w:jc w:val="center"/>
        <w:rPr>
          <w:rFonts w:ascii="Arial" w:hAnsi="Arial" w:cs="Arial"/>
          <w:b/>
          <w:bCs/>
          <w:sz w:val="24"/>
          <w:szCs w:val="24"/>
          <w:lang w:eastAsia="es-ES"/>
        </w:rPr>
      </w:pPr>
      <w:r w:rsidRPr="00F325C0">
        <w:rPr>
          <w:rFonts w:ascii="Arial" w:hAnsi="Arial" w:cs="Arial"/>
          <w:b/>
          <w:bCs/>
          <w:sz w:val="24"/>
          <w:szCs w:val="24"/>
          <w:lang w:eastAsia="es-ES"/>
        </w:rPr>
        <w:t xml:space="preserve">Saltillo, Coahuila de Zaragoza, </w:t>
      </w:r>
      <w:r>
        <w:rPr>
          <w:rFonts w:ascii="Arial" w:hAnsi="Arial" w:cs="Arial"/>
          <w:b/>
          <w:bCs/>
          <w:sz w:val="24"/>
          <w:szCs w:val="24"/>
          <w:lang w:eastAsia="es-ES"/>
        </w:rPr>
        <w:t>a 26 de abril</w:t>
      </w:r>
      <w:r w:rsidRPr="00F325C0">
        <w:rPr>
          <w:rFonts w:ascii="Arial" w:hAnsi="Arial" w:cs="Arial"/>
          <w:b/>
          <w:bCs/>
          <w:sz w:val="24"/>
          <w:szCs w:val="24"/>
          <w:lang w:eastAsia="es-ES"/>
        </w:rPr>
        <w:t xml:space="preserve"> de 202</w:t>
      </w:r>
      <w:r>
        <w:rPr>
          <w:rFonts w:ascii="Arial" w:hAnsi="Arial" w:cs="Arial"/>
          <w:b/>
          <w:bCs/>
          <w:sz w:val="24"/>
          <w:szCs w:val="24"/>
          <w:lang w:eastAsia="es-ES"/>
        </w:rPr>
        <w:t>2</w:t>
      </w:r>
    </w:p>
    <w:p w:rsidR="00F325C0" w:rsidRDefault="00F325C0" w:rsidP="00F325C0">
      <w:pPr>
        <w:spacing w:after="0" w:line="240" w:lineRule="auto"/>
        <w:jc w:val="center"/>
        <w:rPr>
          <w:rFonts w:ascii="Arial" w:hAnsi="Arial" w:cs="Arial"/>
          <w:b/>
          <w:bCs/>
          <w:sz w:val="24"/>
          <w:szCs w:val="24"/>
          <w:lang w:eastAsia="es-ES"/>
        </w:rPr>
      </w:pPr>
    </w:p>
    <w:p w:rsidR="00F325C0" w:rsidRDefault="00F325C0" w:rsidP="00F325C0">
      <w:pPr>
        <w:spacing w:after="0" w:line="240" w:lineRule="auto"/>
        <w:jc w:val="center"/>
        <w:rPr>
          <w:rFonts w:ascii="Arial" w:hAnsi="Arial" w:cs="Arial"/>
          <w:b/>
          <w:bCs/>
          <w:sz w:val="24"/>
          <w:szCs w:val="24"/>
          <w:lang w:eastAsia="es-ES"/>
        </w:rPr>
      </w:pPr>
      <w:r>
        <w:rPr>
          <w:rFonts w:ascii="Arial" w:hAnsi="Arial" w:cs="Arial"/>
          <w:b/>
          <w:bCs/>
          <w:sz w:val="24"/>
          <w:szCs w:val="24"/>
          <w:lang w:eastAsia="es-ES"/>
        </w:rPr>
        <w:t>DIP. MARÍA EUGENIA GUADALUPE CALDERÓN AMEZCUA</w:t>
      </w:r>
    </w:p>
    <w:p w:rsidR="00F325C0" w:rsidRDefault="00F325C0" w:rsidP="00F325C0">
      <w:pPr>
        <w:spacing w:after="0" w:line="240" w:lineRule="auto"/>
        <w:jc w:val="center"/>
        <w:rPr>
          <w:rFonts w:ascii="Arial" w:hAnsi="Arial" w:cs="Arial"/>
          <w:b/>
          <w:bCs/>
          <w:sz w:val="24"/>
          <w:szCs w:val="24"/>
          <w:lang w:eastAsia="es-ES"/>
        </w:rPr>
      </w:pPr>
      <w:r>
        <w:rPr>
          <w:rFonts w:ascii="Arial" w:hAnsi="Arial" w:cs="Arial"/>
          <w:b/>
          <w:bCs/>
          <w:sz w:val="24"/>
          <w:szCs w:val="24"/>
          <w:lang w:eastAsia="es-ES"/>
        </w:rPr>
        <w:t>DEL GRUPO PARLAMENTARIO “MIGUEL RAMOS ARIZPE”</w:t>
      </w:r>
    </w:p>
    <w:p w:rsidR="00F325C0" w:rsidRDefault="00F325C0" w:rsidP="00F325C0">
      <w:pPr>
        <w:spacing w:after="0" w:line="240" w:lineRule="auto"/>
        <w:jc w:val="center"/>
        <w:rPr>
          <w:rFonts w:ascii="Arial" w:hAnsi="Arial" w:cs="Arial"/>
          <w:b/>
          <w:bCs/>
          <w:sz w:val="24"/>
          <w:szCs w:val="24"/>
          <w:lang w:eastAsia="es-ES"/>
        </w:rPr>
      </w:pPr>
      <w:r>
        <w:rPr>
          <w:rFonts w:ascii="Arial" w:hAnsi="Arial" w:cs="Arial"/>
          <w:b/>
          <w:bCs/>
          <w:sz w:val="24"/>
          <w:szCs w:val="24"/>
          <w:lang w:eastAsia="es-ES"/>
        </w:rPr>
        <w:t>DEL PARTIDO REVOLUCIONARIO INSTITUCIONAL.</w:t>
      </w:r>
    </w:p>
    <w:p w:rsidR="00C239B4" w:rsidRPr="00F325C0" w:rsidRDefault="00C239B4" w:rsidP="002E05DA">
      <w:pPr>
        <w:spacing w:after="0" w:line="240" w:lineRule="auto"/>
        <w:rPr>
          <w:rFonts w:ascii="Arial" w:eastAsia="Times New Roman" w:hAnsi="Arial" w:cs="Arial"/>
          <w:b/>
          <w:sz w:val="24"/>
          <w:szCs w:val="24"/>
          <w:lang w:eastAsia="es-ES"/>
        </w:rPr>
      </w:pPr>
    </w:p>
    <w:p w:rsidR="00C239B4" w:rsidRPr="002E05DA" w:rsidRDefault="00C239B4" w:rsidP="00C239B4">
      <w:pPr>
        <w:spacing w:after="0" w:line="240" w:lineRule="auto"/>
        <w:jc w:val="center"/>
        <w:rPr>
          <w:rFonts w:ascii="Arial" w:eastAsia="Times New Roman" w:hAnsi="Arial" w:cs="Arial"/>
          <w:b/>
          <w:sz w:val="24"/>
          <w:szCs w:val="24"/>
          <w:lang w:eastAsia="es-ES"/>
        </w:rPr>
      </w:pPr>
      <w:r w:rsidRPr="002E05DA">
        <w:rPr>
          <w:rFonts w:ascii="Arial" w:eastAsia="Times New Roman" w:hAnsi="Arial" w:cs="Arial"/>
          <w:b/>
          <w:sz w:val="24"/>
          <w:szCs w:val="24"/>
          <w:lang w:eastAsia="es-ES"/>
        </w:rPr>
        <w:t>CONJUNTAMENTE CON LAS DIPUTADAS Y LOS DIPUTADOS INTEGRANTES</w:t>
      </w:r>
    </w:p>
    <w:p w:rsidR="00C239B4" w:rsidRPr="002E05DA" w:rsidRDefault="00C239B4" w:rsidP="00C239B4">
      <w:pPr>
        <w:spacing w:after="0" w:line="240" w:lineRule="auto"/>
        <w:jc w:val="center"/>
        <w:rPr>
          <w:rFonts w:ascii="Arial" w:eastAsia="Times New Roman" w:hAnsi="Arial" w:cs="Arial"/>
          <w:b/>
          <w:sz w:val="24"/>
          <w:szCs w:val="24"/>
          <w:lang w:eastAsia="es-ES"/>
        </w:rPr>
      </w:pPr>
      <w:r w:rsidRPr="002E05DA">
        <w:rPr>
          <w:rFonts w:ascii="Arial" w:eastAsia="Times New Roman" w:hAnsi="Arial" w:cs="Arial"/>
          <w:b/>
          <w:sz w:val="24"/>
          <w:szCs w:val="24"/>
          <w:lang w:eastAsia="es-ES"/>
        </w:rPr>
        <w:t xml:space="preserve"> DEL GRUPO PARLAMENTARIO “MIGUEL RAMOS ARIZPE”, </w:t>
      </w:r>
    </w:p>
    <w:p w:rsidR="00C239B4" w:rsidRPr="002E05DA" w:rsidRDefault="00C239B4" w:rsidP="00C239B4">
      <w:pPr>
        <w:spacing w:after="0" w:line="240" w:lineRule="auto"/>
        <w:jc w:val="center"/>
        <w:rPr>
          <w:rFonts w:ascii="Arial" w:eastAsia="Times New Roman" w:hAnsi="Arial" w:cs="Arial"/>
          <w:b/>
          <w:sz w:val="24"/>
          <w:szCs w:val="24"/>
          <w:lang w:eastAsia="es-ES"/>
        </w:rPr>
      </w:pPr>
      <w:r w:rsidRPr="002E05DA">
        <w:rPr>
          <w:rFonts w:ascii="Arial" w:eastAsia="Times New Roman" w:hAnsi="Arial" w:cs="Arial"/>
          <w:b/>
          <w:sz w:val="24"/>
          <w:szCs w:val="24"/>
          <w:lang w:eastAsia="es-ES"/>
        </w:rPr>
        <w:t>DEL PARTIDO REVOLUCIONARIO INSTITUCIONAL.</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827"/>
        <w:gridCol w:w="4078"/>
        <w:gridCol w:w="236"/>
      </w:tblGrid>
      <w:tr w:rsidR="00C239B4" w:rsidRPr="002E05DA" w:rsidTr="00216788">
        <w:trPr>
          <w:gridAfter w:val="1"/>
          <w:wAfter w:w="236" w:type="dxa"/>
        </w:trPr>
        <w:tc>
          <w:tcPr>
            <w:tcW w:w="9170" w:type="dxa"/>
            <w:gridSpan w:val="3"/>
          </w:tcPr>
          <w:p w:rsidR="00C239B4" w:rsidRPr="002E05DA" w:rsidRDefault="00C239B4" w:rsidP="00C239B4">
            <w:pPr>
              <w:spacing w:after="160" w:line="259" w:lineRule="auto"/>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p>
          <w:p w:rsidR="00C239B4" w:rsidRPr="002E05DA" w:rsidRDefault="00C239B4" w:rsidP="00C239B4">
            <w:pPr>
              <w:tabs>
                <w:tab w:val="left" w:pos="5056"/>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center"/>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center"/>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DIP. MARÍA ESPERANZA CHAPA GARCÍA</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JESÚS MARÍA MONTEMAYOR GARZA</w:t>
            </w: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p>
          <w:p w:rsidR="00C239B4" w:rsidRPr="002E05DA" w:rsidRDefault="00C239B4" w:rsidP="00C239B4">
            <w:pPr>
              <w:tabs>
                <w:tab w:val="left" w:pos="5056"/>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JORGE ANTONIO ABDALA SERNA</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DIP. MARÍA GUADALUPE OYERVIDES VALDEZ</w:t>
            </w: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p>
          <w:p w:rsidR="00C239B4" w:rsidRPr="002E05DA" w:rsidRDefault="00C239B4" w:rsidP="00C239B4">
            <w:pPr>
              <w:tabs>
                <w:tab w:val="left" w:pos="5056"/>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DIP.  RICARDO LÓPEZ CAMPOS</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RAÚL ONOFRE CONTRERAS</w:t>
            </w: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p>
          <w:p w:rsidR="00C239B4" w:rsidRPr="002E05DA" w:rsidRDefault="00C239B4" w:rsidP="00C239B4">
            <w:pPr>
              <w:tabs>
                <w:tab w:val="left" w:pos="4678"/>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r w:rsidRPr="002E05DA">
              <w:rPr>
                <w:rFonts w:ascii="Arial" w:hAnsi="Arial" w:cs="Arial"/>
                <w:b/>
                <w:sz w:val="24"/>
                <w:szCs w:val="24"/>
                <w:lang w:eastAsia="es-ES"/>
              </w:rPr>
              <w:t>DIP. OLIVIA MARTÍNEZ LEYVA</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EDUARDO OLMOS CASTRO</w:t>
            </w: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p>
          <w:p w:rsidR="00C239B4" w:rsidRPr="002E05DA" w:rsidRDefault="00C239B4" w:rsidP="00C239B4">
            <w:pPr>
              <w:tabs>
                <w:tab w:val="left" w:pos="4678"/>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MARIO CEPEDA RAMÍREZ</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HÉCTOR HUGO DÁVILA PRADO</w:t>
            </w: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p>
          <w:p w:rsidR="00C239B4" w:rsidRPr="002E05DA" w:rsidRDefault="00C239B4" w:rsidP="00C239B4">
            <w:pPr>
              <w:tabs>
                <w:tab w:val="left" w:pos="4678"/>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r w:rsidRPr="002E05DA">
              <w:rPr>
                <w:rFonts w:ascii="Arial" w:hAnsi="Arial" w:cs="Arial"/>
                <w:b/>
                <w:sz w:val="24"/>
                <w:szCs w:val="24"/>
                <w:lang w:eastAsia="es-ES"/>
              </w:rPr>
              <w:t>DIP. EDNA ILEANA DÁVALOS ELIZONDO</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LUZ ELENA GUADALUPE MORALES NÚÑEZ</w:t>
            </w: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p>
          <w:p w:rsidR="00C239B4" w:rsidRPr="002E05DA" w:rsidRDefault="00C239B4" w:rsidP="00C239B4">
            <w:pPr>
              <w:tabs>
                <w:tab w:val="left" w:pos="5056"/>
              </w:tabs>
              <w:jc w:val="both"/>
              <w:rPr>
                <w:rFonts w:ascii="Arial" w:hAnsi="Arial" w:cs="Arial"/>
                <w:b/>
                <w:sz w:val="24"/>
                <w:szCs w:val="24"/>
                <w:lang w:eastAsia="es-ES"/>
              </w:rPr>
            </w:pPr>
          </w:p>
        </w:tc>
      </w:tr>
      <w:tr w:rsidR="00C239B4" w:rsidRPr="002E05DA" w:rsidTr="00216788">
        <w:tc>
          <w:tcPr>
            <w:tcW w:w="4265" w:type="dxa"/>
          </w:tcPr>
          <w:p w:rsidR="00C239B4" w:rsidRPr="002E05DA" w:rsidRDefault="00C239B4" w:rsidP="00C239B4">
            <w:pPr>
              <w:tabs>
                <w:tab w:val="left" w:pos="4678"/>
              </w:tabs>
              <w:jc w:val="both"/>
              <w:rPr>
                <w:rFonts w:ascii="Arial" w:hAnsi="Arial" w:cs="Arial"/>
                <w:b/>
                <w:sz w:val="24"/>
                <w:szCs w:val="24"/>
                <w:lang w:eastAsia="es-ES"/>
              </w:rPr>
            </w:pPr>
            <w:r w:rsidRPr="002E05DA">
              <w:rPr>
                <w:rFonts w:ascii="Arial" w:hAnsi="Arial" w:cs="Arial"/>
                <w:b/>
                <w:sz w:val="24"/>
                <w:szCs w:val="24"/>
                <w:lang w:eastAsia="es-ES"/>
              </w:rPr>
              <w:t xml:space="preserve">DIP. </w:t>
            </w:r>
            <w:r w:rsidRPr="002E05DA">
              <w:rPr>
                <w:rFonts w:ascii="Arial" w:hAnsi="Arial" w:cs="Arial"/>
                <w:b/>
                <w:snapToGrid w:val="0"/>
                <w:sz w:val="24"/>
                <w:szCs w:val="24"/>
                <w:lang w:eastAsia="es-ES"/>
              </w:rPr>
              <w:t>MARÍA BÁRBARA CEPEDA BOHERINGER</w:t>
            </w:r>
          </w:p>
        </w:tc>
        <w:tc>
          <w:tcPr>
            <w:tcW w:w="827" w:type="dxa"/>
          </w:tcPr>
          <w:p w:rsidR="00C239B4" w:rsidRPr="002E05DA" w:rsidRDefault="00C239B4" w:rsidP="00C239B4">
            <w:pPr>
              <w:tabs>
                <w:tab w:val="left" w:pos="5056"/>
              </w:tabs>
              <w:jc w:val="both"/>
              <w:rPr>
                <w:rFonts w:ascii="Arial" w:hAnsi="Arial" w:cs="Arial"/>
                <w:b/>
                <w:sz w:val="24"/>
                <w:szCs w:val="24"/>
                <w:lang w:eastAsia="es-ES"/>
              </w:rPr>
            </w:pPr>
          </w:p>
        </w:tc>
        <w:tc>
          <w:tcPr>
            <w:tcW w:w="4314" w:type="dxa"/>
            <w:gridSpan w:val="2"/>
          </w:tcPr>
          <w:p w:rsidR="00C239B4" w:rsidRPr="002E05DA" w:rsidRDefault="00C239B4" w:rsidP="00C239B4">
            <w:pPr>
              <w:tabs>
                <w:tab w:val="left" w:pos="5056"/>
              </w:tabs>
              <w:jc w:val="both"/>
              <w:rPr>
                <w:rFonts w:ascii="Arial" w:hAnsi="Arial" w:cs="Arial"/>
                <w:b/>
                <w:sz w:val="24"/>
                <w:szCs w:val="24"/>
                <w:lang w:eastAsia="es-ES"/>
              </w:rPr>
            </w:pPr>
            <w:r w:rsidRPr="002E05DA">
              <w:rPr>
                <w:rFonts w:ascii="Arial" w:hAnsi="Arial" w:cs="Arial"/>
                <w:b/>
                <w:sz w:val="24"/>
                <w:szCs w:val="24"/>
                <w:lang w:eastAsia="es-ES"/>
              </w:rPr>
              <w:t>DIP. MARTHA LOERA ARÁMBULA</w:t>
            </w:r>
          </w:p>
        </w:tc>
      </w:tr>
      <w:tr w:rsidR="00C239B4" w:rsidRPr="002E05DA" w:rsidTr="00216788">
        <w:trPr>
          <w:trHeight w:val="477"/>
        </w:trPr>
        <w:tc>
          <w:tcPr>
            <w:tcW w:w="9406" w:type="dxa"/>
            <w:gridSpan w:val="4"/>
          </w:tcPr>
          <w:p w:rsidR="00C239B4" w:rsidRPr="002E05DA" w:rsidRDefault="00C239B4" w:rsidP="00C239B4">
            <w:pPr>
              <w:rPr>
                <w:rFonts w:ascii="Arial" w:hAnsi="Arial" w:cs="Arial"/>
                <w:sz w:val="24"/>
                <w:szCs w:val="24"/>
              </w:rPr>
            </w:pPr>
          </w:p>
        </w:tc>
      </w:tr>
      <w:tr w:rsidR="00C239B4" w:rsidRPr="002E05DA" w:rsidTr="00216788">
        <w:trPr>
          <w:trHeight w:val="254"/>
        </w:trPr>
        <w:tc>
          <w:tcPr>
            <w:tcW w:w="9406" w:type="dxa"/>
            <w:gridSpan w:val="4"/>
          </w:tcPr>
          <w:p w:rsidR="00C239B4" w:rsidRPr="002E05DA" w:rsidRDefault="00C239B4" w:rsidP="00C239B4">
            <w:pPr>
              <w:jc w:val="center"/>
              <w:rPr>
                <w:rFonts w:ascii="Arial" w:hAnsi="Arial" w:cs="Arial"/>
                <w:b/>
                <w:sz w:val="24"/>
                <w:szCs w:val="24"/>
              </w:rPr>
            </w:pPr>
            <w:r w:rsidRPr="002E05DA">
              <w:rPr>
                <w:rFonts w:ascii="Arial" w:hAnsi="Arial" w:cs="Arial"/>
                <w:b/>
                <w:sz w:val="24"/>
                <w:szCs w:val="24"/>
              </w:rPr>
              <w:t>DIP. ÁLVARO MOREIRA VALDÉS</w:t>
            </w:r>
          </w:p>
        </w:tc>
      </w:tr>
    </w:tbl>
    <w:p w:rsidR="00C239B4" w:rsidRPr="00F325C0" w:rsidRDefault="00C239B4" w:rsidP="00C239B4">
      <w:pPr>
        <w:spacing w:after="0" w:line="240" w:lineRule="auto"/>
        <w:jc w:val="both"/>
        <w:rPr>
          <w:rFonts w:ascii="Arial" w:eastAsia="Times New Roman" w:hAnsi="Arial" w:cs="Arial"/>
          <w:sz w:val="12"/>
          <w:szCs w:val="12"/>
          <w:lang w:eastAsia="es-ES"/>
        </w:rPr>
      </w:pPr>
    </w:p>
    <w:p w:rsidR="00C239B4" w:rsidRPr="00F325C0" w:rsidRDefault="00C239B4" w:rsidP="00562E5F">
      <w:pPr>
        <w:spacing w:after="0" w:line="240" w:lineRule="auto"/>
        <w:jc w:val="center"/>
        <w:rPr>
          <w:rFonts w:ascii="Arial" w:eastAsia="Times New Roman" w:hAnsi="Arial" w:cs="Arial"/>
          <w:b/>
          <w:bCs/>
          <w:color w:val="000000" w:themeColor="text1"/>
          <w:sz w:val="24"/>
          <w:szCs w:val="24"/>
          <w:lang w:eastAsia="es-ES"/>
        </w:rPr>
      </w:pPr>
    </w:p>
    <w:p w:rsidR="00EC0541" w:rsidRPr="00F325C0" w:rsidRDefault="00EC0541" w:rsidP="00562E5F">
      <w:pPr>
        <w:spacing w:after="0" w:line="240" w:lineRule="auto"/>
        <w:jc w:val="center"/>
        <w:rPr>
          <w:rFonts w:ascii="Arial" w:eastAsia="Times New Roman" w:hAnsi="Arial" w:cs="Arial"/>
          <w:b/>
          <w:bCs/>
          <w:color w:val="000000" w:themeColor="text1"/>
          <w:sz w:val="24"/>
          <w:szCs w:val="24"/>
          <w:lang w:eastAsia="es-ES"/>
        </w:rPr>
      </w:pPr>
    </w:p>
    <w:p w:rsidR="00EC0541" w:rsidRPr="00F325C0" w:rsidRDefault="00EC0541" w:rsidP="00562E5F">
      <w:pPr>
        <w:spacing w:after="0" w:line="240" w:lineRule="auto"/>
        <w:jc w:val="center"/>
        <w:rPr>
          <w:rFonts w:ascii="Arial" w:eastAsia="Times New Roman" w:hAnsi="Arial" w:cs="Arial"/>
          <w:b/>
          <w:bCs/>
          <w:color w:val="000000" w:themeColor="text1"/>
          <w:sz w:val="24"/>
          <w:szCs w:val="24"/>
          <w:lang w:eastAsia="es-ES"/>
        </w:rPr>
      </w:pPr>
    </w:p>
    <w:p w:rsidR="00EC0541" w:rsidRPr="00F325C0" w:rsidRDefault="00EC0541" w:rsidP="00EC0541">
      <w:pPr>
        <w:spacing w:after="0" w:line="240" w:lineRule="auto"/>
        <w:jc w:val="both"/>
        <w:rPr>
          <w:rFonts w:ascii="Arial" w:eastAsia="Times New Roman" w:hAnsi="Arial" w:cs="Arial"/>
          <w:bCs/>
          <w:color w:val="000000" w:themeColor="text1"/>
          <w:sz w:val="16"/>
          <w:szCs w:val="16"/>
          <w:lang w:eastAsia="es-ES"/>
        </w:rPr>
      </w:pPr>
    </w:p>
    <w:sectPr w:rsidR="00EC0541" w:rsidRPr="00F325C0" w:rsidSect="00562E5F">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5E" w:rsidRDefault="009B315E" w:rsidP="00562E5F">
      <w:pPr>
        <w:spacing w:after="0" w:line="240" w:lineRule="auto"/>
      </w:pPr>
      <w:r>
        <w:separator/>
      </w:r>
    </w:p>
  </w:endnote>
  <w:endnote w:type="continuationSeparator" w:id="0">
    <w:p w:rsidR="009B315E" w:rsidRDefault="009B315E" w:rsidP="0056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5E" w:rsidRDefault="009B315E" w:rsidP="00562E5F">
      <w:pPr>
        <w:spacing w:after="0" w:line="240" w:lineRule="auto"/>
      </w:pPr>
      <w:r>
        <w:separator/>
      </w:r>
    </w:p>
  </w:footnote>
  <w:footnote w:type="continuationSeparator" w:id="0">
    <w:p w:rsidR="009B315E" w:rsidRDefault="009B315E" w:rsidP="00562E5F">
      <w:pPr>
        <w:spacing w:after="0" w:line="240" w:lineRule="auto"/>
      </w:pPr>
      <w:r>
        <w:continuationSeparator/>
      </w:r>
    </w:p>
  </w:footnote>
  <w:footnote w:id="1">
    <w:p w:rsidR="00F11BAC" w:rsidRPr="00DD7875" w:rsidRDefault="00F11BAC" w:rsidP="00F11BAC">
      <w:pPr>
        <w:pStyle w:val="Textonotapie"/>
        <w:jc w:val="both"/>
        <w:rPr>
          <w:rFonts w:ascii="Arial Narrow" w:hAnsi="Arial Narrow"/>
          <w:sz w:val="18"/>
          <w:szCs w:val="22"/>
          <w:lang w:val="en-US"/>
        </w:rPr>
      </w:pPr>
      <w:r w:rsidRPr="00DD7875">
        <w:rPr>
          <w:rStyle w:val="Refdenotaalpie"/>
          <w:rFonts w:ascii="Arial Narrow" w:hAnsi="Arial Narrow"/>
          <w:sz w:val="18"/>
          <w:szCs w:val="22"/>
        </w:rPr>
        <w:footnoteRef/>
      </w:r>
      <w:r w:rsidRPr="00DD7875">
        <w:rPr>
          <w:rFonts w:ascii="Arial Narrow" w:hAnsi="Arial Narrow"/>
          <w:sz w:val="18"/>
          <w:szCs w:val="22"/>
          <w:lang w:val="en-US"/>
        </w:rPr>
        <w:t xml:space="preserve"> </w:t>
      </w:r>
      <w:r w:rsidRPr="00DD7875">
        <w:rPr>
          <w:rFonts w:ascii="Arial Narrow" w:hAnsi="Arial Narrow" w:cs="Arial"/>
          <w:color w:val="3C4245"/>
          <w:sz w:val="18"/>
          <w:szCs w:val="22"/>
          <w:lang w:val="en-US"/>
        </w:rPr>
        <w:t>  </w:t>
      </w:r>
      <w:hyperlink r:id="rId1" w:tgtFrame="_blank" w:history="1">
        <w:r w:rsidRPr="00DD7875">
          <w:rPr>
            <w:rFonts w:ascii="Arial Narrow" w:hAnsi="Arial Narrow" w:cs="Arial"/>
            <w:sz w:val="18"/>
            <w:szCs w:val="22"/>
            <w:lang w:val="en-US"/>
          </w:rPr>
          <w:t>World Health Organization. World Oral Health Report 2003</w:t>
        </w:r>
      </w:hyperlink>
      <w:r w:rsidRPr="00DD7875">
        <w:rPr>
          <w:rFonts w:ascii="Arial Narrow" w:hAnsi="Arial Narrow" w:cs="Arial"/>
          <w:sz w:val="18"/>
          <w:szCs w:val="22"/>
          <w:lang w:val="en-US"/>
        </w:rPr>
        <w:t>. Published 2003. Accessed 15 February, 2018.</w:t>
      </w:r>
    </w:p>
  </w:footnote>
  <w:footnote w:id="2">
    <w:p w:rsidR="00F11BAC" w:rsidRPr="00DD7875" w:rsidRDefault="00F11BAC" w:rsidP="00F11BAC">
      <w:pPr>
        <w:pStyle w:val="Textonotapie"/>
        <w:jc w:val="both"/>
        <w:rPr>
          <w:sz w:val="16"/>
          <w:lang w:val="en-US"/>
        </w:rPr>
      </w:pPr>
      <w:r w:rsidRPr="00DD7875">
        <w:rPr>
          <w:rStyle w:val="Refdenotaalpie"/>
          <w:rFonts w:ascii="Arial Narrow" w:hAnsi="Arial Narrow"/>
          <w:sz w:val="18"/>
          <w:szCs w:val="22"/>
        </w:rPr>
        <w:footnoteRef/>
      </w:r>
      <w:r w:rsidRPr="00DD7875">
        <w:rPr>
          <w:rFonts w:ascii="Arial Narrow" w:hAnsi="Arial Narrow"/>
          <w:sz w:val="18"/>
          <w:szCs w:val="22"/>
          <w:lang w:val="en-US"/>
        </w:rPr>
        <w:t xml:space="preserve"> 2.            GBD 2016 Disease and Injury Incidence and Prevalence Collaborators. Global, regional, and national incidence, prevalence, and years lived with disability for 328 diseases and injuries for 195 countries, 1990-2016: a systematic analysis for the Global Burden of Disease Study 2016. Lancet. 2017;390(10100):1211-1259.</w:t>
      </w:r>
    </w:p>
  </w:footnote>
  <w:footnote w:id="3">
    <w:p w:rsidR="00F11BAC" w:rsidRPr="00DD7875" w:rsidRDefault="00F11BAC" w:rsidP="00F11BAC">
      <w:pPr>
        <w:pStyle w:val="Textonotapie"/>
        <w:rPr>
          <w:rFonts w:ascii="Arial Narrow" w:hAnsi="Arial Narrow"/>
          <w:sz w:val="18"/>
          <w:szCs w:val="22"/>
          <w:lang w:val="en-US"/>
        </w:rPr>
      </w:pPr>
      <w:r w:rsidRPr="00DD7875">
        <w:rPr>
          <w:rStyle w:val="Refdenotaalpie"/>
          <w:rFonts w:ascii="Arial Narrow" w:hAnsi="Arial Narrow"/>
          <w:sz w:val="18"/>
          <w:szCs w:val="22"/>
        </w:rPr>
        <w:footnoteRef/>
      </w:r>
      <w:r w:rsidRPr="00DD7875">
        <w:rPr>
          <w:rFonts w:ascii="Arial Narrow" w:hAnsi="Arial Narrow"/>
          <w:sz w:val="18"/>
          <w:szCs w:val="22"/>
          <w:lang w:val="en-US"/>
        </w:rPr>
        <w:t xml:space="preserve"> </w:t>
      </w:r>
      <w:r w:rsidR="009B315E">
        <w:fldChar w:fldCharType="begin"/>
      </w:r>
      <w:r w:rsidR="009B315E" w:rsidRPr="00836FB8">
        <w:rPr>
          <w:lang w:val="en-US"/>
        </w:rPr>
        <w:instrText xml:space="preserve"> HYPERLINK "http://www.cenaprece.salud.gob.mx/programas/interior/saludbucal/descargas/pdf/10Anos_SIVEPAB.pdf" </w:instrText>
      </w:r>
      <w:r w:rsidR="009B315E">
        <w:fldChar w:fldCharType="separate"/>
      </w:r>
      <w:r w:rsidRPr="00DD7875">
        <w:rPr>
          <w:rStyle w:val="Hipervnculo"/>
          <w:rFonts w:ascii="Arial Narrow" w:hAnsi="Arial Narrow"/>
          <w:color w:val="auto"/>
          <w:sz w:val="18"/>
          <w:szCs w:val="22"/>
          <w:u w:val="none"/>
          <w:lang w:val="en-US"/>
        </w:rPr>
        <w:t>http://www.cenaprece.salud.gob.mx/programas/interior/saludbucal/descargas/pdf/10Anos_SIVEPAB.pdf</w:t>
      </w:r>
      <w:r w:rsidR="009B315E">
        <w:rPr>
          <w:rStyle w:val="Hipervnculo"/>
          <w:rFonts w:ascii="Arial Narrow" w:hAnsi="Arial Narrow"/>
          <w:color w:val="auto"/>
          <w:sz w:val="18"/>
          <w:szCs w:val="22"/>
          <w:u w:val="none"/>
          <w:lang w:val="en-US"/>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D5537D" w:rsidRPr="00AC0DFA" w:rsidTr="00557E49">
      <w:trPr>
        <w:jc w:val="center"/>
      </w:trPr>
      <w:tc>
        <w:tcPr>
          <w:tcW w:w="1541" w:type="dxa"/>
        </w:tcPr>
        <w:p w:rsidR="00D5537D" w:rsidRPr="00AC0DFA" w:rsidRDefault="00D5537D" w:rsidP="00D5537D">
          <w:pPr>
            <w:spacing w:after="0" w:line="240" w:lineRule="auto"/>
            <w:jc w:val="center"/>
            <w:rPr>
              <w:rFonts w:ascii="Arial" w:eastAsia="Times New Roman" w:hAnsi="Arial" w:cs="Times New Roman"/>
              <w:b/>
              <w:bCs/>
              <w:sz w:val="12"/>
              <w:szCs w:val="20"/>
              <w:lang w:eastAsia="es-ES"/>
            </w:rPr>
          </w:pPr>
          <w:r w:rsidRPr="00AC0DFA">
            <w:rPr>
              <w:rFonts w:ascii="Arial" w:eastAsia="Times New Roman" w:hAnsi="Arial" w:cs="Times New Roman"/>
              <w:noProof/>
              <w:sz w:val="20"/>
              <w:szCs w:val="20"/>
              <w:lang w:eastAsia="es-MX"/>
            </w:rPr>
            <w:drawing>
              <wp:anchor distT="0" distB="0" distL="114300" distR="114300" simplePos="0" relativeHeight="251659264" behindDoc="0" locked="0" layoutInCell="1" allowOverlap="1" wp14:anchorId="305E464C" wp14:editId="2BBB91C0">
                <wp:simplePos x="0" y="0"/>
                <wp:positionH relativeFrom="column">
                  <wp:posOffset>-48895</wp:posOffset>
                </wp:positionH>
                <wp:positionV relativeFrom="paragraph">
                  <wp:posOffset>45085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tc>
      <w:tc>
        <w:tcPr>
          <w:tcW w:w="7975" w:type="dxa"/>
        </w:tcPr>
        <w:p w:rsidR="00D5537D" w:rsidRPr="00AC0DFA" w:rsidRDefault="00D5537D" w:rsidP="00D5537D">
          <w:pPr>
            <w:spacing w:after="0" w:line="240" w:lineRule="auto"/>
            <w:jc w:val="center"/>
            <w:rPr>
              <w:rFonts w:ascii="Arial" w:eastAsia="Times New Roman" w:hAnsi="Arial" w:cs="Times New Roman"/>
              <w:b/>
              <w:bCs/>
              <w:szCs w:val="20"/>
              <w:lang w:eastAsia="es-ES"/>
            </w:rPr>
          </w:pPr>
        </w:p>
        <w:p w:rsidR="00D5537D" w:rsidRPr="00AC0DFA" w:rsidRDefault="00D5537D" w:rsidP="00D5537D">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AC0DFA">
            <w:rPr>
              <w:rFonts w:ascii="Times New Roman" w:eastAsia="Times New Roman" w:hAnsi="Times New Roman" w:cs="Arial"/>
              <w:bCs/>
              <w:smallCaps/>
              <w:spacing w:val="20"/>
              <w:sz w:val="32"/>
              <w:szCs w:val="32"/>
              <w:lang w:eastAsia="es-ES"/>
            </w:rPr>
            <w:t>Congreso del Estado Independiente,</w:t>
          </w:r>
        </w:p>
        <w:p w:rsidR="00D5537D" w:rsidRPr="00AC0DFA" w:rsidRDefault="00D5537D" w:rsidP="00D5537D">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AC0DFA">
            <w:rPr>
              <w:rFonts w:ascii="Times New Roman" w:eastAsia="Times New Roman" w:hAnsi="Times New Roman" w:cs="Arial"/>
              <w:bCs/>
              <w:smallCaps/>
              <w:spacing w:val="20"/>
              <w:sz w:val="32"/>
              <w:szCs w:val="32"/>
              <w:lang w:eastAsia="es-ES"/>
            </w:rPr>
            <w:t>Libre y Soberano de Coahuila de Zaragoza</w:t>
          </w:r>
        </w:p>
        <w:p w:rsidR="00D5537D" w:rsidRPr="00AC0DFA" w:rsidRDefault="00D5537D" w:rsidP="00D5537D">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D5537D" w:rsidRPr="00AC0DFA" w:rsidRDefault="00D5537D" w:rsidP="00D5537D">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D5537D" w:rsidRPr="00AC0DFA" w:rsidRDefault="00D5537D" w:rsidP="00D5537D">
          <w:pPr>
            <w:tabs>
              <w:tab w:val="center" w:pos="4252"/>
              <w:tab w:val="left" w:pos="5040"/>
              <w:tab w:val="right" w:pos="8504"/>
            </w:tabs>
            <w:spacing w:after="0" w:line="240" w:lineRule="auto"/>
            <w:ind w:right="-93"/>
            <w:jc w:val="center"/>
            <w:rPr>
              <w:rFonts w:ascii="Arial" w:eastAsia="Times New Roman" w:hAnsi="Arial" w:cs="Times New Roman"/>
              <w:b/>
              <w:bCs/>
              <w:sz w:val="12"/>
              <w:szCs w:val="20"/>
              <w:lang w:eastAsia="es-ES"/>
            </w:rPr>
          </w:pPr>
        </w:p>
      </w:tc>
      <w:tc>
        <w:tcPr>
          <w:tcW w:w="1541" w:type="dxa"/>
        </w:tcPr>
        <w:p w:rsidR="00D5537D" w:rsidRPr="00AC0DFA" w:rsidRDefault="00D5537D" w:rsidP="00D5537D">
          <w:pPr>
            <w:spacing w:after="0" w:line="240" w:lineRule="auto"/>
            <w:jc w:val="center"/>
            <w:rPr>
              <w:rFonts w:ascii="Arial" w:eastAsia="Times New Roman" w:hAnsi="Arial" w:cs="Times New Roman"/>
              <w:b/>
              <w:bCs/>
              <w:sz w:val="12"/>
              <w:szCs w:val="20"/>
              <w:lang w:eastAsia="es-ES"/>
            </w:rPr>
          </w:pPr>
          <w:r w:rsidRPr="00AC0DFA">
            <w:rPr>
              <w:rFonts w:ascii="Calibri" w:eastAsia="Calibri" w:hAnsi="Calibri"/>
              <w:noProof/>
              <w:lang w:eastAsia="es-MX"/>
            </w:rPr>
            <w:drawing>
              <wp:anchor distT="0" distB="0" distL="114300" distR="114300" simplePos="0" relativeHeight="251660288" behindDoc="0" locked="0" layoutInCell="1" allowOverlap="1" wp14:anchorId="55D338CF" wp14:editId="233730AC">
                <wp:simplePos x="0" y="0"/>
                <wp:positionH relativeFrom="margin">
                  <wp:posOffset>-88044</wp:posOffset>
                </wp:positionH>
                <wp:positionV relativeFrom="margin">
                  <wp:posOffset>-11375</wp:posOffset>
                </wp:positionV>
                <wp:extent cx="969010" cy="1021080"/>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p w:rsidR="00D5537D" w:rsidRPr="00AC0DFA" w:rsidRDefault="00D5537D" w:rsidP="00D5537D">
          <w:pPr>
            <w:spacing w:after="0" w:line="240" w:lineRule="auto"/>
            <w:jc w:val="center"/>
            <w:rPr>
              <w:rFonts w:ascii="Arial" w:eastAsia="Times New Roman" w:hAnsi="Arial" w:cs="Times New Roman"/>
              <w:b/>
              <w:bCs/>
              <w:sz w:val="12"/>
              <w:szCs w:val="20"/>
              <w:lang w:eastAsia="es-ES"/>
            </w:rPr>
          </w:pPr>
        </w:p>
      </w:tc>
    </w:tr>
  </w:tbl>
  <w:p w:rsidR="00C239B4" w:rsidRDefault="00C239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FA7"/>
    <w:multiLevelType w:val="hybridMultilevel"/>
    <w:tmpl w:val="FD4290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6435D6"/>
    <w:multiLevelType w:val="hybridMultilevel"/>
    <w:tmpl w:val="3C98E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5F"/>
    <w:rsid w:val="00002E22"/>
    <w:rsid w:val="00015C25"/>
    <w:rsid w:val="000212FD"/>
    <w:rsid w:val="00021DC7"/>
    <w:rsid w:val="000A567C"/>
    <w:rsid w:val="000E2052"/>
    <w:rsid w:val="001234DF"/>
    <w:rsid w:val="0019361D"/>
    <w:rsid w:val="00216788"/>
    <w:rsid w:val="002E05DA"/>
    <w:rsid w:val="003179D3"/>
    <w:rsid w:val="003C4CF1"/>
    <w:rsid w:val="003E6068"/>
    <w:rsid w:val="00431DF5"/>
    <w:rsid w:val="004433E2"/>
    <w:rsid w:val="00480C2E"/>
    <w:rsid w:val="004D42D9"/>
    <w:rsid w:val="0050437F"/>
    <w:rsid w:val="00562E5F"/>
    <w:rsid w:val="00596B1D"/>
    <w:rsid w:val="00597389"/>
    <w:rsid w:val="005A5D27"/>
    <w:rsid w:val="006A6508"/>
    <w:rsid w:val="006B21C7"/>
    <w:rsid w:val="006C43FB"/>
    <w:rsid w:val="00716C8E"/>
    <w:rsid w:val="00782FF9"/>
    <w:rsid w:val="007831F8"/>
    <w:rsid w:val="007842CB"/>
    <w:rsid w:val="00793890"/>
    <w:rsid w:val="008062D0"/>
    <w:rsid w:val="00836FB8"/>
    <w:rsid w:val="00852A38"/>
    <w:rsid w:val="00881348"/>
    <w:rsid w:val="008A2A33"/>
    <w:rsid w:val="008F3672"/>
    <w:rsid w:val="00920105"/>
    <w:rsid w:val="009655C2"/>
    <w:rsid w:val="00977F01"/>
    <w:rsid w:val="009A1373"/>
    <w:rsid w:val="009B315E"/>
    <w:rsid w:val="00A24026"/>
    <w:rsid w:val="00A50AC0"/>
    <w:rsid w:val="00A702FB"/>
    <w:rsid w:val="00A77488"/>
    <w:rsid w:val="00AA533E"/>
    <w:rsid w:val="00AD4D1C"/>
    <w:rsid w:val="00B121B0"/>
    <w:rsid w:val="00B41622"/>
    <w:rsid w:val="00B4460A"/>
    <w:rsid w:val="00B47060"/>
    <w:rsid w:val="00B52966"/>
    <w:rsid w:val="00B57805"/>
    <w:rsid w:val="00BC6069"/>
    <w:rsid w:val="00C239B4"/>
    <w:rsid w:val="00C779BF"/>
    <w:rsid w:val="00CA4BE9"/>
    <w:rsid w:val="00D341BD"/>
    <w:rsid w:val="00D408FA"/>
    <w:rsid w:val="00D5537D"/>
    <w:rsid w:val="00DB4447"/>
    <w:rsid w:val="00DD7875"/>
    <w:rsid w:val="00EC0541"/>
    <w:rsid w:val="00EE0420"/>
    <w:rsid w:val="00F11BAC"/>
    <w:rsid w:val="00F325C0"/>
    <w:rsid w:val="00F60B64"/>
    <w:rsid w:val="00FE5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FF4"/>
  <w15:chartTrackingRefBased/>
  <w15:docId w15:val="{9E61C395-A0B8-4433-AEA6-32E86F2D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E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E5F"/>
  </w:style>
  <w:style w:type="paragraph" w:styleId="Textonotapie">
    <w:name w:val="footnote text"/>
    <w:basedOn w:val="Normal"/>
    <w:link w:val="TextonotapieCar"/>
    <w:uiPriority w:val="99"/>
    <w:semiHidden/>
    <w:unhideWhenUsed/>
    <w:rsid w:val="00562E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2E5F"/>
    <w:rPr>
      <w:sz w:val="20"/>
      <w:szCs w:val="20"/>
    </w:rPr>
  </w:style>
  <w:style w:type="table" w:styleId="Tablaconcuadrcula">
    <w:name w:val="Table Grid"/>
    <w:basedOn w:val="Tablanormal"/>
    <w:uiPriority w:val="39"/>
    <w:rsid w:val="00562E5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
    <w:basedOn w:val="Fuentedeprrafopredeter"/>
    <w:uiPriority w:val="99"/>
    <w:unhideWhenUsed/>
    <w:qFormat/>
    <w:rsid w:val="00562E5F"/>
    <w:rPr>
      <w:vertAlign w:val="superscript"/>
    </w:rPr>
  </w:style>
  <w:style w:type="paragraph" w:styleId="Piedepgina">
    <w:name w:val="footer"/>
    <w:basedOn w:val="Normal"/>
    <w:link w:val="PiedepginaCar"/>
    <w:uiPriority w:val="99"/>
    <w:unhideWhenUsed/>
    <w:rsid w:val="00562E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E5F"/>
  </w:style>
  <w:style w:type="table" w:customStyle="1" w:styleId="Tablaconcuadrcula1">
    <w:name w:val="Tabla con cuadrícula1"/>
    <w:basedOn w:val="Tablanormal"/>
    <w:next w:val="Tablaconcuadrcula"/>
    <w:uiPriority w:val="39"/>
    <w:rsid w:val="00C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62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114528">
    <w:name w:val="_114528"/>
    <w:basedOn w:val="Normal"/>
    <w:rsid w:val="008062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062D0"/>
    <w:rPr>
      <w:b/>
      <w:bCs/>
    </w:rPr>
  </w:style>
  <w:style w:type="character" w:styleId="Hipervnculo">
    <w:name w:val="Hyperlink"/>
    <w:basedOn w:val="Fuentedeprrafopredeter"/>
    <w:uiPriority w:val="99"/>
    <w:unhideWhenUsed/>
    <w:rsid w:val="00782FF9"/>
    <w:rPr>
      <w:color w:val="0563C1" w:themeColor="hyperlink"/>
      <w:u w:val="single"/>
    </w:rPr>
  </w:style>
  <w:style w:type="character" w:styleId="Hipervnculovisitado">
    <w:name w:val="FollowedHyperlink"/>
    <w:basedOn w:val="Fuentedeprrafopredeter"/>
    <w:uiPriority w:val="99"/>
    <w:semiHidden/>
    <w:unhideWhenUsed/>
    <w:rsid w:val="00783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0957">
      <w:bodyDiv w:val="1"/>
      <w:marLeft w:val="0"/>
      <w:marRight w:val="0"/>
      <w:marTop w:val="0"/>
      <w:marBottom w:val="0"/>
      <w:divBdr>
        <w:top w:val="none" w:sz="0" w:space="0" w:color="auto"/>
        <w:left w:val="none" w:sz="0" w:space="0" w:color="auto"/>
        <w:bottom w:val="none" w:sz="0" w:space="0" w:color="auto"/>
        <w:right w:val="none" w:sz="0" w:space="0" w:color="auto"/>
      </w:divBdr>
    </w:div>
    <w:div w:id="803698354">
      <w:bodyDiv w:val="1"/>
      <w:marLeft w:val="0"/>
      <w:marRight w:val="0"/>
      <w:marTop w:val="0"/>
      <w:marBottom w:val="0"/>
      <w:divBdr>
        <w:top w:val="none" w:sz="0" w:space="0" w:color="auto"/>
        <w:left w:val="none" w:sz="0" w:space="0" w:color="auto"/>
        <w:bottom w:val="none" w:sz="0" w:space="0" w:color="auto"/>
        <w:right w:val="none" w:sz="0" w:space="0" w:color="auto"/>
      </w:divBdr>
    </w:div>
    <w:div w:id="19350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oral_health/publications/world-oral-health-report-2003/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AB8D-55BC-4C49-B036-329F00B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1836</Words>
  <Characters>10099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Pronnif</dc:creator>
  <cp:keywords/>
  <dc:description/>
  <cp:lastModifiedBy>Juan Lumbreras</cp:lastModifiedBy>
  <cp:revision>2</cp:revision>
  <dcterms:created xsi:type="dcterms:W3CDTF">2022-04-27T17:15:00Z</dcterms:created>
  <dcterms:modified xsi:type="dcterms:W3CDTF">2022-04-27T17:15:00Z</dcterms:modified>
</cp:coreProperties>
</file>