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24" w:rsidRDefault="00D37A24" w:rsidP="00D37A24">
      <w:pPr>
        <w:jc w:val="both"/>
        <w:rPr>
          <w:rFonts w:ascii="Arial Narrow" w:eastAsia="Times New Roman" w:hAnsi="Arial Narrow" w:cs="Times New Roman"/>
          <w:color w:val="000000"/>
          <w:sz w:val="26"/>
          <w:szCs w:val="26"/>
          <w:lang w:val="es-MX" w:eastAsia="es-ES"/>
        </w:rPr>
      </w:pPr>
    </w:p>
    <w:p w:rsidR="00D37A24" w:rsidRPr="00D37A24" w:rsidRDefault="00D37A24" w:rsidP="00D37A24">
      <w:pPr>
        <w:jc w:val="both"/>
        <w:rPr>
          <w:rFonts w:ascii="Arial Narrow" w:eastAsia="Times New Roman" w:hAnsi="Arial Narrow" w:cs="Times New Roman"/>
          <w:color w:val="000000"/>
          <w:sz w:val="26"/>
          <w:szCs w:val="26"/>
          <w:lang w:val="es-MX" w:eastAsia="es-ES"/>
        </w:rPr>
      </w:pPr>
    </w:p>
    <w:p w:rsidR="00D37A24" w:rsidRPr="00D37A24" w:rsidRDefault="00D37A24" w:rsidP="00D37A24">
      <w:pPr>
        <w:jc w:val="both"/>
        <w:rPr>
          <w:rFonts w:ascii="Arial Narrow" w:eastAsia="Times New Roman" w:hAnsi="Arial Narrow" w:cs="Times New Roman"/>
          <w:b/>
          <w:color w:val="000000"/>
          <w:sz w:val="26"/>
          <w:szCs w:val="26"/>
          <w:lang w:val="es-MX" w:eastAsia="es-ES"/>
        </w:rPr>
      </w:pPr>
      <w:bookmarkStart w:id="0" w:name="_GoBack"/>
      <w:r w:rsidRPr="00D37A24">
        <w:rPr>
          <w:rFonts w:ascii="Arial Narrow" w:eastAsia="Times New Roman" w:hAnsi="Arial Narrow" w:cs="Times New Roman"/>
          <w:color w:val="000000"/>
          <w:sz w:val="26"/>
          <w:szCs w:val="26"/>
          <w:lang w:val="es-MX" w:eastAsia="es-ES"/>
        </w:rPr>
        <w:t>Iniciativa con Proyecto de Decreto por el que se agrega el artículo 223 Bis al</w:t>
      </w:r>
      <w:r>
        <w:rPr>
          <w:rFonts w:ascii="Arial Narrow" w:eastAsia="Times New Roman" w:hAnsi="Arial Narrow" w:cs="Times New Roman"/>
          <w:color w:val="000000"/>
          <w:sz w:val="26"/>
          <w:szCs w:val="26"/>
          <w:lang w:val="es-MX" w:eastAsia="es-ES"/>
        </w:rPr>
        <w:t xml:space="preserve"> </w:t>
      </w:r>
      <w:r w:rsidRPr="00D37A24">
        <w:rPr>
          <w:rFonts w:ascii="Arial Narrow" w:eastAsia="Times New Roman" w:hAnsi="Arial Narrow" w:cs="Times New Roman"/>
          <w:b/>
          <w:color w:val="000000"/>
          <w:sz w:val="26"/>
          <w:szCs w:val="26"/>
          <w:lang w:val="es-MX" w:eastAsia="es-ES"/>
        </w:rPr>
        <w:t>Código Penal de Coahuila</w:t>
      </w:r>
      <w:r>
        <w:rPr>
          <w:rFonts w:ascii="Arial Narrow" w:eastAsia="Times New Roman" w:hAnsi="Arial Narrow" w:cs="Times New Roman"/>
          <w:b/>
          <w:color w:val="000000"/>
          <w:sz w:val="26"/>
          <w:szCs w:val="26"/>
          <w:lang w:val="es-MX" w:eastAsia="es-ES"/>
        </w:rPr>
        <w:t xml:space="preserve"> de Zaragoza</w:t>
      </w:r>
      <w:r w:rsidRPr="00D37A24">
        <w:rPr>
          <w:rFonts w:ascii="Arial Narrow" w:eastAsia="Times New Roman" w:hAnsi="Arial Narrow" w:cs="Times New Roman"/>
          <w:b/>
          <w:color w:val="000000"/>
          <w:sz w:val="26"/>
          <w:szCs w:val="26"/>
          <w:lang w:val="es-MX" w:eastAsia="es-ES"/>
        </w:rPr>
        <w:t>.</w:t>
      </w:r>
    </w:p>
    <w:p w:rsidR="00D37A24" w:rsidRDefault="00D37A24" w:rsidP="00D37A24">
      <w:pPr>
        <w:jc w:val="both"/>
        <w:rPr>
          <w:rFonts w:ascii="Arial Narrow" w:eastAsia="Times New Roman" w:hAnsi="Arial Narrow" w:cs="Times New Roman"/>
          <w:color w:val="000000"/>
          <w:sz w:val="26"/>
          <w:szCs w:val="26"/>
          <w:lang w:val="es-MX" w:eastAsia="es-ES"/>
        </w:rPr>
      </w:pPr>
    </w:p>
    <w:p w:rsidR="00D37A24" w:rsidRPr="00D37A24" w:rsidRDefault="00D37A24" w:rsidP="00D37A24">
      <w:pPr>
        <w:numPr>
          <w:ilvl w:val="0"/>
          <w:numId w:val="1"/>
        </w:numPr>
        <w:spacing w:after="160" w:line="259" w:lineRule="auto"/>
        <w:contextualSpacing/>
        <w:jc w:val="both"/>
        <w:rPr>
          <w:rFonts w:ascii="Arial Narrow" w:eastAsia="Times New Roman" w:hAnsi="Arial Narrow" w:cs="Times New Roman"/>
          <w:b/>
          <w:color w:val="000000"/>
          <w:sz w:val="26"/>
          <w:szCs w:val="26"/>
          <w:lang w:val="es-MX" w:eastAsia="es-ES"/>
        </w:rPr>
      </w:pPr>
      <w:r w:rsidRPr="00D37A24">
        <w:rPr>
          <w:rFonts w:ascii="Arial Narrow" w:eastAsia="Times New Roman" w:hAnsi="Arial Narrow" w:cs="Times New Roman"/>
          <w:b/>
          <w:color w:val="000000"/>
          <w:sz w:val="26"/>
          <w:szCs w:val="26"/>
          <w:lang w:val="es-MX" w:eastAsia="es-ES"/>
        </w:rPr>
        <w:t>E</w:t>
      </w:r>
      <w:r w:rsidRPr="00D37A24">
        <w:rPr>
          <w:rFonts w:ascii="Arial Narrow" w:eastAsia="Times New Roman" w:hAnsi="Arial Narrow" w:cs="Times New Roman"/>
          <w:b/>
          <w:color w:val="000000"/>
          <w:sz w:val="26"/>
          <w:szCs w:val="26"/>
          <w:lang w:val="es-MX" w:eastAsia="es-ES"/>
        </w:rPr>
        <w:t>n cuanto a medidas de atención y asistencia en materia de procuración y administración de justicia.</w:t>
      </w:r>
    </w:p>
    <w:p w:rsidR="00D37A24" w:rsidRPr="00D37A24" w:rsidRDefault="00D37A24" w:rsidP="00D37A24">
      <w:pPr>
        <w:jc w:val="both"/>
        <w:rPr>
          <w:rFonts w:ascii="Arial Narrow" w:eastAsia="Times New Roman" w:hAnsi="Arial Narrow" w:cs="Times New Roman"/>
          <w:color w:val="000000"/>
          <w:sz w:val="26"/>
          <w:szCs w:val="26"/>
          <w:lang w:val="es-MX" w:eastAsia="es-ES"/>
        </w:rPr>
      </w:pPr>
    </w:p>
    <w:p w:rsidR="00D37A24" w:rsidRPr="00D37A24" w:rsidRDefault="00D37A24" w:rsidP="00D37A24">
      <w:pPr>
        <w:jc w:val="both"/>
        <w:rPr>
          <w:rFonts w:ascii="Arial Narrow" w:eastAsia="Times New Roman" w:hAnsi="Arial Narrow" w:cs="Times New Roman"/>
          <w:color w:val="000000"/>
          <w:sz w:val="26"/>
          <w:szCs w:val="26"/>
          <w:lang w:val="es-MX" w:eastAsia="es-ES"/>
        </w:rPr>
      </w:pPr>
      <w:r w:rsidRPr="00D37A24">
        <w:rPr>
          <w:rFonts w:ascii="Arial Narrow" w:eastAsia="Times New Roman" w:hAnsi="Arial Narrow" w:cs="Times New Roman"/>
          <w:color w:val="000000"/>
          <w:sz w:val="26"/>
          <w:szCs w:val="26"/>
          <w:lang w:val="es-MX" w:eastAsia="es-ES"/>
        </w:rPr>
        <w:t xml:space="preserve">Planteada por la </w:t>
      </w:r>
      <w:r w:rsidRPr="00D37A24">
        <w:rPr>
          <w:rFonts w:ascii="Arial Narrow" w:eastAsia="Times New Roman" w:hAnsi="Arial Narrow" w:cs="Times New Roman"/>
          <w:b/>
          <w:color w:val="000000"/>
          <w:sz w:val="26"/>
          <w:szCs w:val="26"/>
          <w:lang w:val="es-MX" w:eastAsia="es-ES"/>
        </w:rPr>
        <w:t xml:space="preserve">Diputada Teresa de Jesús Meraz García, </w:t>
      </w:r>
      <w:r w:rsidRPr="00D37A24">
        <w:rPr>
          <w:rFonts w:ascii="Arial Narrow" w:eastAsia="Times New Roman" w:hAnsi="Arial Narrow" w:cs="Times New Roman"/>
          <w:color w:val="000000"/>
          <w:sz w:val="26"/>
          <w:szCs w:val="26"/>
          <w:lang w:val="es-MX" w:eastAsia="es-ES"/>
        </w:rPr>
        <w:t>del Grupo Parlamentario, "Movimiento Regeneración Nacional” del Partido Morena.</w:t>
      </w:r>
    </w:p>
    <w:p w:rsidR="00D37A24" w:rsidRPr="00D37A24" w:rsidRDefault="00D37A24" w:rsidP="00D37A24">
      <w:pPr>
        <w:jc w:val="both"/>
        <w:rPr>
          <w:rFonts w:ascii="Arial Narrow" w:eastAsia="Times New Roman" w:hAnsi="Arial Narrow" w:cs="Times New Roman"/>
          <w:color w:val="000000"/>
          <w:sz w:val="26"/>
          <w:szCs w:val="26"/>
          <w:lang w:val="es-MX" w:eastAsia="es-ES"/>
        </w:rPr>
      </w:pPr>
    </w:p>
    <w:p w:rsidR="00D37A24" w:rsidRPr="00D37A24" w:rsidRDefault="00D37A24" w:rsidP="00D37A24">
      <w:pPr>
        <w:jc w:val="both"/>
        <w:rPr>
          <w:rFonts w:ascii="Arial Narrow" w:eastAsia="Times New Roman" w:hAnsi="Arial Narrow" w:cs="Times New Roman"/>
          <w:b/>
          <w:color w:val="000000"/>
          <w:sz w:val="26"/>
          <w:szCs w:val="26"/>
          <w:lang w:val="es-MX" w:eastAsia="es-ES"/>
        </w:rPr>
      </w:pPr>
      <w:r w:rsidRPr="00D37A24">
        <w:rPr>
          <w:rFonts w:ascii="Arial Narrow" w:eastAsia="Times New Roman" w:hAnsi="Arial Narrow" w:cs="Times New Roman"/>
          <w:color w:val="000000"/>
          <w:sz w:val="26"/>
          <w:szCs w:val="26"/>
          <w:lang w:val="es-MX" w:eastAsia="es-ES"/>
        </w:rPr>
        <w:t xml:space="preserve">Fecha de Lectura de la Iniciativa: </w:t>
      </w:r>
      <w:r w:rsidRPr="00D37A24">
        <w:rPr>
          <w:rFonts w:ascii="Arial Narrow" w:eastAsia="Times New Roman" w:hAnsi="Arial Narrow" w:cs="Times New Roman"/>
          <w:b/>
          <w:color w:val="000000"/>
          <w:sz w:val="26"/>
          <w:szCs w:val="26"/>
          <w:lang w:val="es-MX" w:eastAsia="es-ES"/>
        </w:rPr>
        <w:t>2</w:t>
      </w:r>
      <w:r>
        <w:rPr>
          <w:rFonts w:ascii="Arial Narrow" w:eastAsia="Times New Roman" w:hAnsi="Arial Narrow" w:cs="Times New Roman"/>
          <w:b/>
          <w:color w:val="000000"/>
          <w:sz w:val="26"/>
          <w:szCs w:val="26"/>
          <w:lang w:val="es-MX" w:eastAsia="es-ES"/>
        </w:rPr>
        <w:t>7</w:t>
      </w:r>
      <w:r w:rsidRPr="00D37A24">
        <w:rPr>
          <w:rFonts w:ascii="Arial Narrow" w:eastAsia="Times New Roman" w:hAnsi="Arial Narrow" w:cs="Times New Roman"/>
          <w:b/>
          <w:color w:val="000000"/>
          <w:sz w:val="26"/>
          <w:szCs w:val="26"/>
          <w:lang w:val="es-MX" w:eastAsia="es-ES"/>
        </w:rPr>
        <w:t xml:space="preserve"> de Abril de 2022.</w:t>
      </w:r>
    </w:p>
    <w:p w:rsidR="00D37A24" w:rsidRPr="00D37A24" w:rsidRDefault="00D37A24" w:rsidP="00D37A24">
      <w:pPr>
        <w:jc w:val="both"/>
        <w:rPr>
          <w:rFonts w:ascii="Arial Narrow" w:eastAsia="Times New Roman" w:hAnsi="Arial Narrow" w:cs="Arial"/>
          <w:sz w:val="26"/>
          <w:szCs w:val="26"/>
          <w:lang w:val="es-MX" w:eastAsia="es-ES"/>
        </w:rPr>
      </w:pPr>
    </w:p>
    <w:p w:rsidR="00D37A24" w:rsidRPr="00D37A24" w:rsidRDefault="00D37A24" w:rsidP="00D37A24">
      <w:pPr>
        <w:jc w:val="both"/>
        <w:rPr>
          <w:rFonts w:ascii="Arial Narrow" w:eastAsia="Times New Roman" w:hAnsi="Arial Narrow" w:cs="Times New Roman"/>
          <w:b/>
          <w:color w:val="000000"/>
          <w:sz w:val="26"/>
          <w:szCs w:val="26"/>
          <w:lang w:val="es-MX" w:eastAsia="es-ES"/>
        </w:rPr>
      </w:pPr>
      <w:r w:rsidRPr="00D37A24">
        <w:rPr>
          <w:rFonts w:ascii="Arial Narrow" w:eastAsia="Times New Roman" w:hAnsi="Arial Narrow" w:cs="Times New Roman"/>
          <w:color w:val="000000"/>
          <w:sz w:val="26"/>
          <w:szCs w:val="26"/>
          <w:lang w:val="es-MX" w:eastAsia="es-ES"/>
        </w:rPr>
        <w:t>Turnada a la</w:t>
      </w:r>
      <w:r w:rsidRPr="00D37A24">
        <w:rPr>
          <w:rFonts w:ascii="Arial Narrow" w:eastAsia="Times New Roman" w:hAnsi="Arial Narrow" w:cs="Times New Roman"/>
          <w:b/>
          <w:color w:val="000000"/>
          <w:sz w:val="26"/>
          <w:szCs w:val="26"/>
          <w:lang w:val="es-MX" w:eastAsia="es-ES"/>
        </w:rPr>
        <w:t xml:space="preserve"> Comisión de Gobernación, Puntos Constitucionales y Justicia.</w:t>
      </w:r>
    </w:p>
    <w:p w:rsidR="00D37A24" w:rsidRPr="00D37A24" w:rsidRDefault="00D37A24" w:rsidP="00D37A24">
      <w:pPr>
        <w:jc w:val="both"/>
        <w:rPr>
          <w:rFonts w:ascii="Arial Narrow" w:eastAsia="Times New Roman" w:hAnsi="Arial Narrow" w:cs="Times New Roman"/>
          <w:b/>
          <w:color w:val="000000"/>
          <w:sz w:val="26"/>
          <w:szCs w:val="26"/>
          <w:lang w:val="es-MX" w:eastAsia="es-ES"/>
        </w:rPr>
      </w:pPr>
    </w:p>
    <w:bookmarkEnd w:id="0"/>
    <w:p w:rsidR="00D37A24" w:rsidRPr="00D37A24" w:rsidRDefault="00D37A24" w:rsidP="00D37A24">
      <w:pPr>
        <w:jc w:val="both"/>
        <w:rPr>
          <w:rFonts w:ascii="Arial Narrow" w:eastAsia="Times New Roman" w:hAnsi="Arial Narrow" w:cs="Times New Roman"/>
          <w:b/>
          <w:color w:val="000000"/>
          <w:sz w:val="26"/>
          <w:szCs w:val="26"/>
          <w:lang w:val="es-MX" w:eastAsia="es-ES"/>
        </w:rPr>
      </w:pPr>
      <w:r w:rsidRPr="00D37A24">
        <w:rPr>
          <w:rFonts w:ascii="Arial Narrow" w:eastAsia="Times New Roman" w:hAnsi="Arial Narrow" w:cs="Times New Roman"/>
          <w:b/>
          <w:color w:val="000000"/>
          <w:sz w:val="26"/>
          <w:szCs w:val="26"/>
          <w:lang w:val="es-MX" w:eastAsia="es-ES"/>
        </w:rPr>
        <w:t xml:space="preserve">Fecha de lectura del Dictamen: </w:t>
      </w:r>
    </w:p>
    <w:p w:rsidR="00D37A24" w:rsidRPr="00D37A24" w:rsidRDefault="00D37A24" w:rsidP="00D37A24">
      <w:pPr>
        <w:jc w:val="both"/>
        <w:rPr>
          <w:rFonts w:ascii="Arial Narrow" w:eastAsia="Times New Roman" w:hAnsi="Arial Narrow" w:cs="Times New Roman"/>
          <w:b/>
          <w:color w:val="000000"/>
          <w:sz w:val="26"/>
          <w:szCs w:val="26"/>
          <w:lang w:val="es-MX" w:eastAsia="es-ES"/>
        </w:rPr>
      </w:pPr>
    </w:p>
    <w:p w:rsidR="00D37A24" w:rsidRPr="00D37A24" w:rsidRDefault="00D37A24" w:rsidP="00D37A24">
      <w:pPr>
        <w:ind w:left="1418" w:hanging="1418"/>
        <w:jc w:val="both"/>
        <w:rPr>
          <w:rFonts w:ascii="Arial Narrow" w:eastAsia="Times New Roman" w:hAnsi="Arial Narrow" w:cs="Times New Roman"/>
          <w:b/>
          <w:color w:val="000000"/>
          <w:sz w:val="26"/>
          <w:szCs w:val="26"/>
          <w:lang w:val="es-MX" w:eastAsia="es-ES"/>
        </w:rPr>
      </w:pPr>
      <w:r w:rsidRPr="00D37A24">
        <w:rPr>
          <w:rFonts w:ascii="Arial Narrow" w:eastAsia="Times New Roman" w:hAnsi="Arial Narrow" w:cs="Times New Roman"/>
          <w:b/>
          <w:color w:val="000000"/>
          <w:sz w:val="26"/>
          <w:szCs w:val="26"/>
          <w:lang w:val="es-MX" w:eastAsia="es-ES"/>
        </w:rPr>
        <w:t xml:space="preserve">Decreto No. </w:t>
      </w:r>
    </w:p>
    <w:p w:rsidR="00D37A24" w:rsidRPr="00D37A24" w:rsidRDefault="00D37A24" w:rsidP="00D37A24">
      <w:pPr>
        <w:ind w:left="1418" w:hanging="1418"/>
        <w:jc w:val="both"/>
        <w:rPr>
          <w:rFonts w:ascii="Arial Narrow" w:eastAsia="Times New Roman" w:hAnsi="Arial Narrow" w:cs="Times New Roman"/>
          <w:b/>
          <w:color w:val="000000"/>
          <w:sz w:val="26"/>
          <w:szCs w:val="26"/>
          <w:lang w:val="es-MX" w:eastAsia="es-ES"/>
        </w:rPr>
      </w:pPr>
    </w:p>
    <w:p w:rsidR="00D37A24" w:rsidRPr="00D37A24" w:rsidRDefault="00D37A24" w:rsidP="00D37A24">
      <w:pPr>
        <w:jc w:val="both"/>
        <w:rPr>
          <w:rFonts w:ascii="Arial Narrow" w:eastAsia="Times New Roman" w:hAnsi="Arial Narrow" w:cs="Times New Roman"/>
          <w:color w:val="000000"/>
          <w:sz w:val="26"/>
          <w:szCs w:val="26"/>
          <w:lang w:val="es-MX" w:eastAsia="es-ES"/>
        </w:rPr>
      </w:pPr>
      <w:r w:rsidRPr="00D37A24">
        <w:rPr>
          <w:rFonts w:ascii="Arial Narrow" w:eastAsia="Times New Roman" w:hAnsi="Arial Narrow" w:cs="Times New Roman"/>
          <w:color w:val="000000"/>
          <w:sz w:val="26"/>
          <w:szCs w:val="26"/>
          <w:lang w:val="es-MX" w:eastAsia="es-ES"/>
        </w:rPr>
        <w:t xml:space="preserve">Publicación en el Periódico Oficial del Gobierno del Estado: </w:t>
      </w:r>
    </w:p>
    <w:p w:rsidR="00D37A24" w:rsidRPr="00D37A24" w:rsidRDefault="00D37A24" w:rsidP="00D37A24">
      <w:pPr>
        <w:jc w:val="both"/>
        <w:rPr>
          <w:rFonts w:ascii="Arial Narrow" w:eastAsia="Times New Roman" w:hAnsi="Arial Narrow" w:cs="Times New Roman"/>
          <w:color w:val="000000"/>
          <w:sz w:val="26"/>
          <w:szCs w:val="26"/>
          <w:lang w:val="es-MX" w:eastAsia="es-ES"/>
        </w:rPr>
      </w:pPr>
    </w:p>
    <w:p w:rsidR="00D37A24" w:rsidRDefault="00D37A24" w:rsidP="00D37A24">
      <w:pPr>
        <w:pStyle w:val="Normal1"/>
        <w:pBdr>
          <w:top w:val="nil"/>
          <w:left w:val="nil"/>
          <w:bottom w:val="nil"/>
          <w:right w:val="nil"/>
          <w:between w:val="nil"/>
        </w:pBdr>
        <w:jc w:val="both"/>
        <w:rPr>
          <w:rFonts w:ascii="Arial" w:eastAsia="Arial" w:hAnsi="Arial" w:cs="Arial"/>
          <w:b/>
          <w:color w:val="000000"/>
          <w:sz w:val="28"/>
          <w:szCs w:val="28"/>
        </w:rPr>
      </w:pPr>
    </w:p>
    <w:p w:rsidR="00D37A24" w:rsidRDefault="00D37A24" w:rsidP="00D37A24">
      <w:pPr>
        <w:pStyle w:val="Normal1"/>
        <w:pBdr>
          <w:top w:val="nil"/>
          <w:left w:val="nil"/>
          <w:bottom w:val="nil"/>
          <w:right w:val="nil"/>
          <w:between w:val="nil"/>
        </w:pBdr>
        <w:jc w:val="both"/>
        <w:rPr>
          <w:rFonts w:ascii="Arial" w:eastAsia="Arial" w:hAnsi="Arial" w:cs="Arial"/>
          <w:b/>
          <w:color w:val="000000"/>
          <w:sz w:val="28"/>
          <w:szCs w:val="28"/>
        </w:rPr>
      </w:pPr>
    </w:p>
    <w:p w:rsidR="00D37A24" w:rsidRDefault="00D37A24" w:rsidP="00D37A24">
      <w:pPr>
        <w:pStyle w:val="Normal1"/>
        <w:pBdr>
          <w:top w:val="nil"/>
          <w:left w:val="nil"/>
          <w:bottom w:val="nil"/>
          <w:right w:val="nil"/>
          <w:between w:val="nil"/>
        </w:pBdr>
        <w:jc w:val="both"/>
        <w:rPr>
          <w:rFonts w:ascii="Arial" w:eastAsia="Arial" w:hAnsi="Arial" w:cs="Arial"/>
          <w:b/>
          <w:color w:val="000000"/>
          <w:sz w:val="28"/>
          <w:szCs w:val="28"/>
        </w:rPr>
      </w:pPr>
    </w:p>
    <w:p w:rsidR="00D37A24" w:rsidRDefault="00D37A24" w:rsidP="00D37A24">
      <w:pPr>
        <w:pStyle w:val="Normal1"/>
        <w:pBdr>
          <w:top w:val="nil"/>
          <w:left w:val="nil"/>
          <w:bottom w:val="nil"/>
          <w:right w:val="nil"/>
          <w:between w:val="nil"/>
        </w:pBdr>
        <w:jc w:val="both"/>
        <w:rPr>
          <w:rFonts w:ascii="Arial" w:eastAsia="Arial" w:hAnsi="Arial" w:cs="Arial"/>
          <w:b/>
          <w:color w:val="000000"/>
          <w:sz w:val="28"/>
          <w:szCs w:val="28"/>
        </w:rPr>
      </w:pPr>
    </w:p>
    <w:p w:rsidR="00D37A24" w:rsidRDefault="00D37A24">
      <w:pPr>
        <w:rPr>
          <w:rFonts w:ascii="Arial" w:eastAsia="Arial" w:hAnsi="Arial" w:cs="Arial"/>
          <w:b/>
          <w:color w:val="000000"/>
          <w:sz w:val="28"/>
          <w:szCs w:val="28"/>
        </w:rPr>
      </w:pPr>
      <w:r>
        <w:rPr>
          <w:rFonts w:ascii="Arial" w:eastAsia="Arial" w:hAnsi="Arial" w:cs="Arial"/>
          <w:b/>
          <w:color w:val="000000"/>
          <w:sz w:val="28"/>
          <w:szCs w:val="28"/>
        </w:rPr>
        <w:br w:type="page"/>
      </w:r>
    </w:p>
    <w:p w:rsidR="00061A49" w:rsidRPr="00464613" w:rsidRDefault="00402A3C" w:rsidP="00EE15A5">
      <w:pPr>
        <w:pStyle w:val="Normal1"/>
        <w:pBdr>
          <w:top w:val="nil"/>
          <w:left w:val="nil"/>
          <w:bottom w:val="nil"/>
          <w:right w:val="nil"/>
          <w:between w:val="nil"/>
        </w:pBdr>
        <w:spacing w:after="280" w:line="360" w:lineRule="auto"/>
        <w:jc w:val="both"/>
        <w:rPr>
          <w:rFonts w:ascii="Arial" w:eastAsia="Arial" w:hAnsi="Arial" w:cs="Arial"/>
          <w:b/>
          <w:color w:val="000000"/>
          <w:sz w:val="28"/>
          <w:szCs w:val="28"/>
        </w:rPr>
      </w:pPr>
      <w:r w:rsidRPr="00464613">
        <w:rPr>
          <w:rFonts w:ascii="Arial" w:eastAsia="Arial" w:hAnsi="Arial" w:cs="Arial"/>
          <w:b/>
          <w:color w:val="000000"/>
          <w:sz w:val="28"/>
          <w:szCs w:val="28"/>
        </w:rPr>
        <w:lastRenderedPageBreak/>
        <w:t>Iniciativa con proyecto de decreto que presenta la Diputada Teresa de Jesús Meraz García, con</w:t>
      </w:r>
      <w:r w:rsidR="00FE5FA6" w:rsidRPr="00464613">
        <w:rPr>
          <w:rFonts w:ascii="Arial" w:eastAsia="Arial" w:hAnsi="Arial" w:cs="Arial"/>
          <w:b/>
          <w:color w:val="000000"/>
          <w:sz w:val="28"/>
          <w:szCs w:val="28"/>
        </w:rPr>
        <w:t>juntamente con las Diputadas y el D</w:t>
      </w:r>
      <w:r w:rsidRPr="00464613">
        <w:rPr>
          <w:rFonts w:ascii="Arial" w:eastAsia="Arial" w:hAnsi="Arial" w:cs="Arial"/>
          <w:b/>
          <w:color w:val="000000"/>
          <w:sz w:val="28"/>
          <w:szCs w:val="28"/>
        </w:rPr>
        <w:t>iputado integrantes del Grupo Parlamentario del movimiento de regeneración nacional, del partido morena, por el que se reforma</w:t>
      </w:r>
      <w:r w:rsidR="00464613">
        <w:rPr>
          <w:rFonts w:ascii="Arial" w:eastAsia="Arial" w:hAnsi="Arial" w:cs="Arial"/>
          <w:b/>
          <w:color w:val="000000"/>
          <w:sz w:val="28"/>
          <w:szCs w:val="28"/>
        </w:rPr>
        <w:t xml:space="preserve"> el</w:t>
      </w:r>
      <w:r w:rsidRPr="00464613">
        <w:rPr>
          <w:rFonts w:ascii="Arial" w:eastAsia="Arial" w:hAnsi="Arial" w:cs="Arial"/>
          <w:b/>
          <w:color w:val="000000"/>
          <w:sz w:val="28"/>
          <w:szCs w:val="28"/>
        </w:rPr>
        <w:t xml:space="preserve"> </w:t>
      </w:r>
      <w:r w:rsidR="000C7B5E" w:rsidRPr="00464613">
        <w:rPr>
          <w:rFonts w:ascii="Arial" w:eastAsia="Arial" w:hAnsi="Arial" w:cs="Arial"/>
          <w:b/>
          <w:color w:val="000000"/>
          <w:sz w:val="28"/>
          <w:szCs w:val="28"/>
        </w:rPr>
        <w:t xml:space="preserve">Código Penal </w:t>
      </w:r>
      <w:r w:rsidR="00EE15A5" w:rsidRPr="00464613">
        <w:rPr>
          <w:rFonts w:ascii="Arial" w:eastAsia="Arial" w:hAnsi="Arial" w:cs="Arial"/>
          <w:b/>
          <w:color w:val="000000"/>
          <w:sz w:val="28"/>
          <w:szCs w:val="28"/>
        </w:rPr>
        <w:t>de Coahuila</w:t>
      </w:r>
      <w:r w:rsidRPr="00464613">
        <w:rPr>
          <w:rFonts w:ascii="Arial" w:eastAsia="Arial" w:hAnsi="Arial" w:cs="Arial"/>
          <w:b/>
          <w:color w:val="000000"/>
          <w:sz w:val="28"/>
          <w:szCs w:val="28"/>
        </w:rPr>
        <w:t xml:space="preserve">, </w:t>
      </w:r>
      <w:r w:rsidR="00EE15A5" w:rsidRPr="00464613">
        <w:rPr>
          <w:rFonts w:ascii="Arial" w:eastAsia="Arial" w:hAnsi="Arial" w:cs="Arial"/>
          <w:b/>
          <w:color w:val="000000"/>
          <w:sz w:val="28"/>
          <w:szCs w:val="28"/>
        </w:rPr>
        <w:t xml:space="preserve">en cuanto a </w:t>
      </w:r>
      <w:r w:rsidR="00EE15A5" w:rsidRPr="00464613">
        <w:rPr>
          <w:rFonts w:ascii="Arial" w:hAnsi="Arial" w:cs="Arial"/>
          <w:b/>
          <w:sz w:val="28"/>
          <w:szCs w:val="28"/>
        </w:rPr>
        <w:t>medidas de atención y asistencia en materia de procuración y administración de justicia</w:t>
      </w:r>
    </w:p>
    <w:p w:rsidR="00061A49" w:rsidRPr="00464613" w:rsidRDefault="00402A3C">
      <w:pPr>
        <w:pStyle w:val="Normal1"/>
        <w:jc w:val="both"/>
        <w:rPr>
          <w:rFonts w:ascii="Arial" w:eastAsia="Arial" w:hAnsi="Arial" w:cs="Arial"/>
          <w:b/>
          <w:sz w:val="28"/>
          <w:szCs w:val="28"/>
        </w:rPr>
      </w:pPr>
      <w:r w:rsidRPr="00464613">
        <w:rPr>
          <w:rFonts w:ascii="Arial" w:eastAsia="Arial" w:hAnsi="Arial" w:cs="Arial"/>
          <w:b/>
          <w:sz w:val="28"/>
          <w:szCs w:val="28"/>
        </w:rPr>
        <w:t>H. PLENO DEL CONGRESO DEL ESTADO</w:t>
      </w:r>
    </w:p>
    <w:p w:rsidR="00061A49" w:rsidRPr="00464613" w:rsidRDefault="00402A3C">
      <w:pPr>
        <w:pStyle w:val="Normal1"/>
        <w:jc w:val="both"/>
        <w:rPr>
          <w:rFonts w:ascii="Arial" w:eastAsia="Arial" w:hAnsi="Arial" w:cs="Arial"/>
          <w:b/>
          <w:sz w:val="28"/>
          <w:szCs w:val="28"/>
        </w:rPr>
      </w:pPr>
      <w:r w:rsidRPr="00464613">
        <w:rPr>
          <w:rFonts w:ascii="Arial" w:eastAsia="Arial" w:hAnsi="Arial" w:cs="Arial"/>
          <w:b/>
          <w:sz w:val="28"/>
          <w:szCs w:val="28"/>
        </w:rPr>
        <w:t>DE COAHUILA DE ZARAGOZA</w:t>
      </w:r>
    </w:p>
    <w:p w:rsidR="00061A49" w:rsidRPr="00464613" w:rsidRDefault="00DE07ED">
      <w:pPr>
        <w:pStyle w:val="Normal1"/>
        <w:jc w:val="both"/>
        <w:rPr>
          <w:rFonts w:ascii="Arial" w:eastAsia="Arial" w:hAnsi="Arial" w:cs="Arial"/>
          <w:b/>
          <w:sz w:val="28"/>
          <w:szCs w:val="28"/>
        </w:rPr>
      </w:pPr>
      <w:r w:rsidRPr="00464613">
        <w:rPr>
          <w:rFonts w:ascii="Arial" w:eastAsia="Arial" w:hAnsi="Arial" w:cs="Arial"/>
          <w:b/>
          <w:sz w:val="28"/>
          <w:szCs w:val="28"/>
        </w:rPr>
        <w:t>PRESENTE.</w:t>
      </w:r>
    </w:p>
    <w:p w:rsidR="00061A49" w:rsidRPr="00464613" w:rsidRDefault="00402A3C">
      <w:pPr>
        <w:pStyle w:val="Normal1"/>
        <w:pBdr>
          <w:top w:val="nil"/>
          <w:left w:val="nil"/>
          <w:bottom w:val="nil"/>
          <w:right w:val="nil"/>
          <w:between w:val="nil"/>
        </w:pBdr>
        <w:spacing w:before="280" w:after="280" w:line="360" w:lineRule="auto"/>
        <w:jc w:val="both"/>
        <w:rPr>
          <w:rFonts w:ascii="Arial" w:eastAsia="Arial" w:hAnsi="Arial" w:cs="Arial"/>
          <w:color w:val="000000"/>
          <w:sz w:val="28"/>
          <w:szCs w:val="28"/>
        </w:rPr>
      </w:pPr>
      <w:r w:rsidRPr="00464613">
        <w:rPr>
          <w:rFonts w:ascii="Arial" w:eastAsia="Arial" w:hAnsi="Arial" w:cs="Arial"/>
          <w:color w:val="000000"/>
          <w:sz w:val="28"/>
          <w:szCs w:val="28"/>
        </w:rPr>
        <w:t>La suscrita Diputada Teresa de Jesús Meraz García, conjuntamen</w:t>
      </w:r>
      <w:r w:rsidR="00D07D71" w:rsidRPr="00464613">
        <w:rPr>
          <w:rFonts w:ascii="Arial" w:eastAsia="Arial" w:hAnsi="Arial" w:cs="Arial"/>
          <w:color w:val="000000"/>
          <w:sz w:val="28"/>
          <w:szCs w:val="28"/>
        </w:rPr>
        <w:t>te con las Diputadas y e</w:t>
      </w:r>
      <w:r w:rsidRPr="00464613">
        <w:rPr>
          <w:rFonts w:ascii="Arial" w:eastAsia="Arial" w:hAnsi="Arial" w:cs="Arial"/>
          <w:color w:val="000000"/>
          <w:sz w:val="28"/>
          <w:szCs w:val="28"/>
        </w:rPr>
        <w:t xml:space="preserve">l Diputado del Grupo Parlamentario movimiento de regeneración nacional del partido morena, de la LXII Legislatura del Honorable Congreso del Estado Independiente, Libre y Soberano de Coahuila de Zaragoza, con fundamento en el </w:t>
      </w:r>
      <w:r w:rsidR="00D07D71" w:rsidRPr="00464613">
        <w:rPr>
          <w:rFonts w:ascii="Arial" w:eastAsia="Arial" w:hAnsi="Arial" w:cs="Arial"/>
          <w:color w:val="000000"/>
          <w:sz w:val="28"/>
          <w:szCs w:val="28"/>
        </w:rPr>
        <w:t>artículo</w:t>
      </w:r>
      <w:r w:rsidRPr="00464613">
        <w:rPr>
          <w:rFonts w:ascii="Arial" w:eastAsia="Arial" w:hAnsi="Arial" w:cs="Arial"/>
          <w:color w:val="000000"/>
          <w:sz w:val="28"/>
          <w:szCs w:val="28"/>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w:t>
      </w:r>
      <w:r w:rsidR="00464613">
        <w:rPr>
          <w:rFonts w:ascii="Arial" w:eastAsia="Arial" w:hAnsi="Arial" w:cs="Arial"/>
          <w:color w:val="000000"/>
          <w:sz w:val="28"/>
          <w:szCs w:val="28"/>
        </w:rPr>
        <w:t xml:space="preserve"> del</w:t>
      </w:r>
      <w:r w:rsidRPr="00464613">
        <w:rPr>
          <w:rFonts w:ascii="Arial" w:eastAsia="Arial" w:hAnsi="Arial" w:cs="Arial"/>
          <w:color w:val="000000"/>
          <w:sz w:val="28"/>
          <w:szCs w:val="28"/>
        </w:rPr>
        <w:t xml:space="preserve"> </w:t>
      </w:r>
      <w:r w:rsidR="004A7C2D" w:rsidRPr="00464613">
        <w:rPr>
          <w:rFonts w:ascii="Arial" w:eastAsia="Arial" w:hAnsi="Arial" w:cs="Arial"/>
          <w:color w:val="000000"/>
          <w:sz w:val="28"/>
          <w:szCs w:val="28"/>
        </w:rPr>
        <w:t xml:space="preserve">Código </w:t>
      </w:r>
      <w:r w:rsidR="00D07D71" w:rsidRPr="00464613">
        <w:rPr>
          <w:rFonts w:ascii="Arial" w:eastAsia="Arial" w:hAnsi="Arial" w:cs="Arial"/>
          <w:color w:val="000000"/>
          <w:sz w:val="28"/>
          <w:szCs w:val="28"/>
        </w:rPr>
        <w:t xml:space="preserve">Penal </w:t>
      </w:r>
      <w:r w:rsidR="004A7C2D" w:rsidRPr="00464613">
        <w:rPr>
          <w:rFonts w:ascii="Arial" w:eastAsia="Arial" w:hAnsi="Arial" w:cs="Arial"/>
          <w:color w:val="000000"/>
          <w:sz w:val="28"/>
          <w:szCs w:val="28"/>
        </w:rPr>
        <w:t xml:space="preserve">de </w:t>
      </w:r>
      <w:r w:rsidRPr="00464613">
        <w:rPr>
          <w:rFonts w:ascii="Arial" w:eastAsia="Arial" w:hAnsi="Arial" w:cs="Arial"/>
          <w:color w:val="000000"/>
          <w:sz w:val="28"/>
          <w:szCs w:val="28"/>
        </w:rPr>
        <w:t>Coahuila</w:t>
      </w:r>
      <w:r w:rsidR="00D07D71" w:rsidRPr="00464613">
        <w:rPr>
          <w:rFonts w:ascii="Arial" w:eastAsia="Arial" w:hAnsi="Arial" w:cs="Arial"/>
          <w:color w:val="000000"/>
          <w:sz w:val="28"/>
          <w:szCs w:val="28"/>
        </w:rPr>
        <w:t xml:space="preserve"> de Zaragoza</w:t>
      </w:r>
      <w:r w:rsidRPr="00464613">
        <w:rPr>
          <w:rFonts w:ascii="Arial" w:eastAsia="Arial" w:hAnsi="Arial" w:cs="Arial"/>
          <w:color w:val="000000"/>
          <w:sz w:val="28"/>
          <w:szCs w:val="28"/>
        </w:rPr>
        <w:t xml:space="preserve">, a razón de la siguiente: </w:t>
      </w:r>
    </w:p>
    <w:p w:rsidR="00061A49" w:rsidRPr="00464613" w:rsidRDefault="00402A3C">
      <w:pPr>
        <w:pStyle w:val="Normal1"/>
        <w:pBdr>
          <w:top w:val="nil"/>
          <w:left w:val="nil"/>
          <w:bottom w:val="nil"/>
          <w:right w:val="nil"/>
          <w:between w:val="nil"/>
        </w:pBdr>
        <w:spacing w:before="280" w:after="280" w:line="360" w:lineRule="auto"/>
        <w:jc w:val="center"/>
        <w:rPr>
          <w:rFonts w:ascii="Arial" w:eastAsia="Arial" w:hAnsi="Arial" w:cs="Arial"/>
          <w:b/>
          <w:color w:val="000000"/>
          <w:sz w:val="28"/>
          <w:szCs w:val="28"/>
        </w:rPr>
      </w:pPr>
      <w:r w:rsidRPr="00464613">
        <w:rPr>
          <w:rFonts w:ascii="Arial" w:eastAsia="Arial" w:hAnsi="Arial" w:cs="Arial"/>
          <w:b/>
          <w:color w:val="000000"/>
          <w:sz w:val="28"/>
          <w:szCs w:val="28"/>
        </w:rPr>
        <w:t>Exposición de Motivos</w:t>
      </w:r>
      <w:r w:rsidR="000C7B5E" w:rsidRPr="00464613">
        <w:rPr>
          <w:rFonts w:ascii="Arial" w:eastAsia="Arial" w:hAnsi="Arial" w:cs="Arial"/>
          <w:b/>
          <w:color w:val="000000"/>
          <w:sz w:val="28"/>
          <w:szCs w:val="28"/>
        </w:rPr>
        <w:t>.</w:t>
      </w:r>
    </w:p>
    <w:p w:rsidR="000C7B5E"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 xml:space="preserve">La Constitución Política de los Estados Unidos Mexicanos, en su artículo 1° prohíbe cualquier clase de discriminación que atente contra la dignidad humana y menoscabe las libertades de las personas. Entre otros motivos de discriminación, la Carta Magna hace referencia a aquella que deriva de las preferencias sexuales de las personas. </w:t>
      </w:r>
    </w:p>
    <w:p w:rsidR="000C7B5E"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Pese a algunos avances que se han establecido en la legislación mexicana para reconocer y reivindicar la igualdad, la discriminación por orientación sexual, así como por identidad y expresión de género es un fenómeno estructural arraigado en la sociedad mexicana.</w:t>
      </w:r>
    </w:p>
    <w:p w:rsidR="007A63C2"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La discriminación contra la comunidad LGBTTTI</w:t>
      </w:r>
      <w:r w:rsidR="00FD6DD5" w:rsidRPr="00464613">
        <w:rPr>
          <w:rFonts w:ascii="Arial" w:hAnsi="Arial" w:cs="Arial"/>
          <w:color w:val="000000"/>
          <w:sz w:val="28"/>
          <w:szCs w:val="28"/>
        </w:rPr>
        <w:t>Q+</w:t>
      </w:r>
      <w:r w:rsidRPr="00464613">
        <w:rPr>
          <w:rFonts w:ascii="Arial" w:hAnsi="Arial" w:cs="Arial"/>
          <w:color w:val="000000"/>
          <w:sz w:val="28"/>
          <w:szCs w:val="28"/>
        </w:rPr>
        <w:t xml:space="preserve"> se presenta de manera cotidiana, en múltiples niveles: en los entornos familiares, laborales, institucionales. De acuerdo con la Encuesta Nacional sobre la Discriminación (ENADIS) realizada en 2010, 24 % de los mexicanos no estaban dispuestos a permitir que en su casa vivieran personas de otra religión, 23 % no lo permitiría en el caso de personas de otra raza y 44 % en el caso de homosexuales.</w:t>
      </w:r>
      <w:bookmarkStart w:id="1" w:name="_ftnref1"/>
      <w:r w:rsidRPr="00464613">
        <w:rPr>
          <w:rFonts w:ascii="Arial" w:hAnsi="Arial" w:cs="Arial"/>
          <w:color w:val="000000"/>
          <w:sz w:val="28"/>
          <w:szCs w:val="28"/>
        </w:rPr>
        <w:t> </w:t>
      </w:r>
      <w:bookmarkEnd w:id="1"/>
    </w:p>
    <w:p w:rsidR="007A63C2"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Históricamente, diversas sociedades alrededor del mundo han considerado a la homosexualidad como una enfermedad mental o como una elección, sin embargo, la Organización Mundial de la Salud, determinó el 17 de mayo de 1990, que la homosexualidad no es una enfermedad ni un desorden genético; de igual manera, la referida organización retiró recientemente</w:t>
      </w:r>
      <w:bookmarkStart w:id="2" w:name="_ftnref4"/>
      <w:r w:rsidRPr="00464613">
        <w:rPr>
          <w:rFonts w:ascii="Arial" w:hAnsi="Arial" w:cs="Arial"/>
          <w:color w:val="000000"/>
          <w:sz w:val="28"/>
          <w:szCs w:val="28"/>
        </w:rPr>
        <w:t> </w:t>
      </w:r>
      <w:bookmarkEnd w:id="2"/>
      <w:r w:rsidRPr="00464613">
        <w:rPr>
          <w:rFonts w:ascii="Arial" w:hAnsi="Arial" w:cs="Arial"/>
          <w:color w:val="000000"/>
          <w:sz w:val="28"/>
          <w:szCs w:val="28"/>
        </w:rPr>
        <w:t>“la "incongruencia de género" -la transexualidad- de la clasificación de las enfermedades mentales”.</w:t>
      </w:r>
    </w:p>
    <w:p w:rsidR="000C7B5E"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 xml:space="preserve">Lo anterior “evita dar justificaciones a quienes intentan curar o tratar la transexualidad, lo que supone una agresión para </w:t>
      </w:r>
      <w:r w:rsidR="00FD6DD5" w:rsidRPr="00464613">
        <w:rPr>
          <w:rFonts w:ascii="Arial" w:hAnsi="Arial" w:cs="Arial"/>
          <w:color w:val="000000"/>
          <w:sz w:val="28"/>
          <w:szCs w:val="28"/>
        </w:rPr>
        <w:t>las personas de esta condición pues</w:t>
      </w:r>
      <w:r w:rsidRPr="00464613">
        <w:rPr>
          <w:rFonts w:ascii="Arial" w:hAnsi="Arial" w:cs="Arial"/>
          <w:color w:val="000000"/>
          <w:sz w:val="28"/>
          <w:szCs w:val="28"/>
        </w:rPr>
        <w:t xml:space="preserve"> es causa de discriminación y violencia”</w:t>
      </w:r>
      <w:bookmarkStart w:id="3" w:name="_ftnref6"/>
      <w:r w:rsidR="005A7E60" w:rsidRPr="00464613">
        <w:rPr>
          <w:rFonts w:ascii="Arial" w:hAnsi="Arial" w:cs="Arial"/>
          <w:color w:val="000000"/>
          <w:sz w:val="28"/>
          <w:szCs w:val="28"/>
        </w:rPr>
        <w:fldChar w:fldCharType="begin"/>
      </w:r>
      <w:r w:rsidRPr="00464613">
        <w:rPr>
          <w:rFonts w:ascii="Arial" w:hAnsi="Arial" w:cs="Arial"/>
          <w:color w:val="000000"/>
          <w:sz w:val="28"/>
          <w:szCs w:val="28"/>
        </w:rPr>
        <w:instrText xml:space="preserve"> HYPERLINK "https://www.senado.gob.mx/64/gaceta_comision_permanente/documento/82814" \l "_ftn6" \o "" </w:instrText>
      </w:r>
      <w:r w:rsidR="005A7E60" w:rsidRPr="00464613">
        <w:rPr>
          <w:rFonts w:ascii="Arial" w:hAnsi="Arial" w:cs="Arial"/>
          <w:color w:val="000000"/>
          <w:sz w:val="28"/>
          <w:szCs w:val="28"/>
        </w:rPr>
        <w:fldChar w:fldCharType="separate"/>
      </w:r>
      <w:r w:rsidRPr="00464613">
        <w:rPr>
          <w:rStyle w:val="Hipervnculo"/>
          <w:rFonts w:ascii="Arial" w:hAnsi="Arial" w:cs="Arial"/>
          <w:color w:val="000000"/>
          <w:sz w:val="28"/>
          <w:szCs w:val="28"/>
        </w:rPr>
        <w:t> </w:t>
      </w:r>
      <w:r w:rsidR="005A7E60" w:rsidRPr="00464613">
        <w:rPr>
          <w:rFonts w:ascii="Arial" w:hAnsi="Arial" w:cs="Arial"/>
          <w:color w:val="000000"/>
          <w:sz w:val="28"/>
          <w:szCs w:val="28"/>
        </w:rPr>
        <w:fldChar w:fldCharType="end"/>
      </w:r>
      <w:bookmarkEnd w:id="3"/>
      <w:r w:rsidRPr="00464613">
        <w:rPr>
          <w:rFonts w:ascii="Arial" w:hAnsi="Arial" w:cs="Arial"/>
          <w:color w:val="000000"/>
          <w:sz w:val="28"/>
          <w:szCs w:val="28"/>
        </w:rPr>
        <w:t>.</w:t>
      </w:r>
    </w:p>
    <w:p w:rsidR="007A63C2"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Asimismo, la American Psychological Association (APA) ha señalado que, “la mayoría de los científicos en la actualidad acuerdan que la orientación sexual es más probablemente el resultado de una interacción compleja de factores biológicos, cognitivos y del entorno.”</w:t>
      </w:r>
      <w:bookmarkStart w:id="4" w:name="_ftnref7"/>
      <w:r w:rsidRPr="00464613">
        <w:rPr>
          <w:rFonts w:ascii="Arial" w:hAnsi="Arial" w:cs="Arial"/>
          <w:color w:val="000000"/>
          <w:sz w:val="28"/>
          <w:szCs w:val="28"/>
        </w:rPr>
        <w:t> </w:t>
      </w:r>
      <w:bookmarkEnd w:id="4"/>
      <w:r w:rsidRPr="00464613">
        <w:rPr>
          <w:rFonts w:ascii="Arial" w:hAnsi="Arial" w:cs="Arial"/>
          <w:color w:val="000000"/>
          <w:sz w:val="28"/>
          <w:szCs w:val="28"/>
        </w:rPr>
        <w:t>No se trata, pues, de una elección humana y por lo tanto no puede cambiarse voluntariamente.</w:t>
      </w:r>
    </w:p>
    <w:p w:rsidR="007A63C2"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Lo anterior resulta relevante, toda vez que recientemente “ha vuelto a salir a la conversación pública”</w:t>
      </w:r>
      <w:bookmarkStart w:id="5" w:name="_ftnref10"/>
      <w:r w:rsidR="005A7E60" w:rsidRPr="00464613">
        <w:rPr>
          <w:rFonts w:ascii="Arial" w:hAnsi="Arial" w:cs="Arial"/>
          <w:color w:val="000000"/>
          <w:sz w:val="28"/>
          <w:szCs w:val="28"/>
        </w:rPr>
        <w:fldChar w:fldCharType="begin"/>
      </w:r>
      <w:r w:rsidRPr="00464613">
        <w:rPr>
          <w:rFonts w:ascii="Arial" w:hAnsi="Arial" w:cs="Arial"/>
          <w:color w:val="000000"/>
          <w:sz w:val="28"/>
          <w:szCs w:val="28"/>
        </w:rPr>
        <w:instrText xml:space="preserve"> HYPERLINK "https://www.senado.gob.mx/64/gaceta_comision_permanente/documento/82814" \l "_ftn10" \o "" </w:instrText>
      </w:r>
      <w:r w:rsidR="005A7E60" w:rsidRPr="00464613">
        <w:rPr>
          <w:rFonts w:ascii="Arial" w:hAnsi="Arial" w:cs="Arial"/>
          <w:color w:val="000000"/>
          <w:sz w:val="28"/>
          <w:szCs w:val="28"/>
        </w:rPr>
        <w:fldChar w:fldCharType="separate"/>
      </w:r>
      <w:r w:rsidRPr="00464613">
        <w:rPr>
          <w:rStyle w:val="Hipervnculo"/>
          <w:rFonts w:ascii="Arial" w:hAnsi="Arial" w:cs="Arial"/>
          <w:color w:val="000000"/>
          <w:sz w:val="28"/>
          <w:szCs w:val="28"/>
        </w:rPr>
        <w:t> </w:t>
      </w:r>
      <w:r w:rsidR="005A7E60" w:rsidRPr="00464613">
        <w:rPr>
          <w:rFonts w:ascii="Arial" w:hAnsi="Arial" w:cs="Arial"/>
          <w:color w:val="000000"/>
          <w:sz w:val="28"/>
          <w:szCs w:val="28"/>
        </w:rPr>
        <w:fldChar w:fldCharType="end"/>
      </w:r>
      <w:bookmarkEnd w:id="5"/>
      <w:r w:rsidRPr="00464613">
        <w:rPr>
          <w:rFonts w:ascii="Arial" w:hAnsi="Arial" w:cs="Arial"/>
          <w:color w:val="000000"/>
          <w:sz w:val="28"/>
          <w:szCs w:val="28"/>
        </w:rPr>
        <w:t>el tema de los supuestas “</w:t>
      </w:r>
      <w:r w:rsidRPr="00464613">
        <w:rPr>
          <w:rStyle w:val="nfasis"/>
          <w:rFonts w:ascii="Arial" w:hAnsi="Arial" w:cs="Arial"/>
          <w:color w:val="000000"/>
          <w:sz w:val="28"/>
          <w:szCs w:val="28"/>
        </w:rPr>
        <w:t>terapias de conversión</w:t>
      </w:r>
      <w:r w:rsidRPr="00464613">
        <w:rPr>
          <w:rFonts w:ascii="Arial" w:hAnsi="Arial" w:cs="Arial"/>
          <w:color w:val="000000"/>
          <w:sz w:val="28"/>
          <w:szCs w:val="28"/>
        </w:rPr>
        <w:t>” o “</w:t>
      </w:r>
      <w:r w:rsidRPr="00464613">
        <w:rPr>
          <w:rStyle w:val="nfasis"/>
          <w:rFonts w:ascii="Arial" w:hAnsi="Arial" w:cs="Arial"/>
          <w:color w:val="000000"/>
          <w:sz w:val="28"/>
          <w:szCs w:val="28"/>
        </w:rPr>
        <w:t>terapias curativas</w:t>
      </w:r>
      <w:r w:rsidRPr="00464613">
        <w:rPr>
          <w:rFonts w:ascii="Arial" w:hAnsi="Arial" w:cs="Arial"/>
          <w:color w:val="000000"/>
          <w:sz w:val="28"/>
          <w:szCs w:val="28"/>
        </w:rPr>
        <w:t>” que, en palabras de Jacqueline L’</w:t>
      </w:r>
      <w:r w:rsidR="00FB5428" w:rsidRPr="00464613">
        <w:rPr>
          <w:rFonts w:ascii="Arial" w:hAnsi="Arial" w:cs="Arial"/>
          <w:color w:val="000000"/>
          <w:sz w:val="28"/>
          <w:szCs w:val="28"/>
        </w:rPr>
        <w:t xml:space="preserve"> </w:t>
      </w:r>
      <w:r w:rsidRPr="00464613">
        <w:rPr>
          <w:rFonts w:ascii="Arial" w:hAnsi="Arial" w:cs="Arial"/>
          <w:color w:val="000000"/>
          <w:sz w:val="28"/>
          <w:szCs w:val="28"/>
        </w:rPr>
        <w:t xml:space="preserve">Hoist, presidenta del Consejo para Prevenir y Eliminar la Discriminación en la Ciudad de México, son, en realidad, “«terapias de represión» que buscan suprimir mediante conceptos dogmáticos el goce y el disfrute de la sexualidad humana”, porque “la preferencia y la orientación sexual es algo con lo que se nace, no se elige”. </w:t>
      </w:r>
    </w:p>
    <w:p w:rsidR="007A63C2"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 xml:space="preserve">No obstante, quienes ofrecen dichas terapias, no son clínicas </w:t>
      </w:r>
      <w:r w:rsidR="00FB5428" w:rsidRPr="00464613">
        <w:rPr>
          <w:rFonts w:ascii="Arial" w:hAnsi="Arial" w:cs="Arial"/>
          <w:color w:val="000000"/>
          <w:sz w:val="28"/>
          <w:szCs w:val="28"/>
        </w:rPr>
        <w:t>especializadas</w:t>
      </w:r>
      <w:r w:rsidRPr="00464613">
        <w:rPr>
          <w:rFonts w:ascii="Arial" w:hAnsi="Arial" w:cs="Arial"/>
          <w:color w:val="000000"/>
          <w:sz w:val="28"/>
          <w:szCs w:val="28"/>
        </w:rPr>
        <w:t>, sino “«cursos» o «talleres» que se dan en las escuelas cristianas, en escuelas católicas principalmente. En las iglesias, el ministro de culto; en un templo, el sacerdote dice que determinado día tendrán pláticas para «salvar las almas» e invitan a la feligresía a que vaya, no son clínicas, como pudiera ser un hospital.”</w:t>
      </w:r>
      <w:bookmarkStart w:id="6" w:name="_ftnref13"/>
      <w:r w:rsidRPr="00464613">
        <w:rPr>
          <w:rFonts w:ascii="Arial" w:hAnsi="Arial" w:cs="Arial"/>
          <w:color w:val="000000"/>
          <w:sz w:val="28"/>
          <w:szCs w:val="28"/>
        </w:rPr>
        <w:t> </w:t>
      </w:r>
      <w:bookmarkEnd w:id="6"/>
    </w:p>
    <w:p w:rsidR="000C7B5E" w:rsidRPr="00464613" w:rsidRDefault="007A63C2"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Así, “L</w:t>
      </w:r>
      <w:r w:rsidR="000C7B5E" w:rsidRPr="00464613">
        <w:rPr>
          <w:rFonts w:ascii="Arial" w:hAnsi="Arial" w:cs="Arial"/>
          <w:color w:val="000000"/>
          <w:sz w:val="28"/>
          <w:szCs w:val="28"/>
        </w:rPr>
        <w:t>as «terapias de conversión» están ocultas, se manejan en la informalidad, aseguran que pueden ayudar a chicos o chicas homosexuales, quieren vender una especie de ayuda, pero realmente violentan el derecho personalísimo que tenemos para elegir a quien amar y, por supuesto, nuestra vida sexual.”</w:t>
      </w:r>
    </w:p>
    <w:p w:rsidR="000C7B5E" w:rsidRPr="00464613" w:rsidRDefault="000C7B5E" w:rsidP="000C7B5E">
      <w:pPr>
        <w:pStyle w:val="NormalWeb"/>
        <w:shd w:val="clear" w:color="auto" w:fill="FFFFFF"/>
        <w:spacing w:before="0" w:beforeAutospacing="0" w:after="150" w:afterAutospacing="0" w:line="360" w:lineRule="auto"/>
        <w:jc w:val="both"/>
        <w:rPr>
          <w:rFonts w:ascii="Arial" w:hAnsi="Arial" w:cs="Arial"/>
          <w:color w:val="000000"/>
          <w:sz w:val="28"/>
          <w:szCs w:val="28"/>
        </w:rPr>
      </w:pPr>
      <w:r w:rsidRPr="00464613">
        <w:rPr>
          <w:rFonts w:ascii="Arial" w:hAnsi="Arial" w:cs="Arial"/>
          <w:color w:val="000000"/>
          <w:sz w:val="28"/>
          <w:szCs w:val="28"/>
        </w:rPr>
        <w:t>En ese sentido, la Comisión Interamericana de Derechos Humanos, en su informe titulado “</w:t>
      </w:r>
      <w:r w:rsidRPr="00464613">
        <w:rPr>
          <w:rStyle w:val="nfasis"/>
          <w:rFonts w:ascii="Arial" w:hAnsi="Arial" w:cs="Arial"/>
          <w:color w:val="000000"/>
          <w:sz w:val="28"/>
          <w:szCs w:val="28"/>
        </w:rPr>
        <w:t>Violencia contra Personas Lesbianas, Gay, Bisexuales, Trans e Intersex en América”, </w:t>
      </w:r>
      <w:r w:rsidRPr="00464613">
        <w:rPr>
          <w:rFonts w:ascii="Arial" w:hAnsi="Arial" w:cs="Arial"/>
          <w:color w:val="000000"/>
          <w:sz w:val="28"/>
          <w:szCs w:val="28"/>
        </w:rPr>
        <w:t>señala que diversos grupos defensores de los derechos humanos, así como la Organización Panamericana de la Salud (OPS) han realizado diversos cuestionamientos a los supuestos tratamientos psicoterapéuticos dirigidos a modificar la orientación sexual de las personas, pues dichos tratamientos “carecen de indicación médica y representan una grave amenaza a la salud y los derechos humanos de las personas afectadas.”</w:t>
      </w:r>
    </w:p>
    <w:p w:rsidR="00FB5428" w:rsidRPr="00464613" w:rsidRDefault="00FB5428" w:rsidP="007A63C2">
      <w:pPr>
        <w:pStyle w:val="NormalWeb"/>
        <w:shd w:val="clear" w:color="auto" w:fill="FFFFFF"/>
        <w:spacing w:before="0" w:beforeAutospacing="0" w:after="150" w:afterAutospacing="0" w:line="360" w:lineRule="auto"/>
        <w:jc w:val="both"/>
        <w:rPr>
          <w:rFonts w:ascii="Arial" w:hAnsi="Arial" w:cs="Arial"/>
          <w:color w:val="000000"/>
          <w:sz w:val="28"/>
          <w:szCs w:val="28"/>
        </w:rPr>
      </w:pPr>
    </w:p>
    <w:p w:rsidR="0035147A" w:rsidRPr="00464613" w:rsidRDefault="000C7B5E" w:rsidP="007A63C2">
      <w:pPr>
        <w:pStyle w:val="NormalWeb"/>
        <w:shd w:val="clear" w:color="auto" w:fill="FFFFFF"/>
        <w:spacing w:before="0" w:beforeAutospacing="0" w:after="150" w:afterAutospacing="0" w:line="360" w:lineRule="auto"/>
        <w:jc w:val="both"/>
        <w:rPr>
          <w:rFonts w:ascii="Verdana" w:hAnsi="Verdana"/>
          <w:color w:val="000000"/>
          <w:sz w:val="28"/>
          <w:szCs w:val="28"/>
        </w:rPr>
      </w:pPr>
      <w:r w:rsidRPr="00464613">
        <w:rPr>
          <w:rFonts w:ascii="Arial" w:hAnsi="Arial" w:cs="Arial"/>
          <w:color w:val="000000"/>
          <w:sz w:val="28"/>
          <w:szCs w:val="28"/>
        </w:rPr>
        <w:t>Por ello, resulta indispensable prohibir dichas “</w:t>
      </w:r>
      <w:r w:rsidRPr="00464613">
        <w:rPr>
          <w:rStyle w:val="nfasis"/>
          <w:rFonts w:ascii="Arial" w:hAnsi="Arial" w:cs="Arial"/>
          <w:color w:val="000000"/>
          <w:sz w:val="28"/>
          <w:szCs w:val="28"/>
        </w:rPr>
        <w:t>terapias de conversión</w:t>
      </w:r>
      <w:r w:rsidRPr="00464613">
        <w:rPr>
          <w:rFonts w:ascii="Arial" w:hAnsi="Arial" w:cs="Arial"/>
          <w:color w:val="000000"/>
          <w:sz w:val="28"/>
          <w:szCs w:val="28"/>
        </w:rPr>
        <w:t>” o “</w:t>
      </w:r>
      <w:r w:rsidRPr="00464613">
        <w:rPr>
          <w:rStyle w:val="nfasis"/>
          <w:rFonts w:ascii="Arial" w:hAnsi="Arial" w:cs="Arial"/>
          <w:color w:val="000000"/>
          <w:sz w:val="28"/>
          <w:szCs w:val="28"/>
        </w:rPr>
        <w:t>terapias curativas</w:t>
      </w:r>
      <w:r w:rsidRPr="00464613">
        <w:rPr>
          <w:rFonts w:ascii="Arial" w:hAnsi="Arial" w:cs="Arial"/>
          <w:color w:val="000000"/>
          <w:sz w:val="28"/>
          <w:szCs w:val="28"/>
        </w:rPr>
        <w:t>”, pues como lo ha señalado la Comisión Interamericana de Derechos Humanos, son “contrarias a la ética, carecen de fundamento científico, son ineficaces y podrían constituir una forma de tortura”</w:t>
      </w:r>
      <w:bookmarkStart w:id="7" w:name="_ftnref17"/>
      <w:r w:rsidR="005A7E60" w:rsidRPr="00464613">
        <w:rPr>
          <w:rFonts w:ascii="Arial" w:hAnsi="Arial" w:cs="Arial"/>
          <w:color w:val="000000"/>
          <w:sz w:val="28"/>
          <w:szCs w:val="28"/>
        </w:rPr>
        <w:fldChar w:fldCharType="begin"/>
      </w:r>
      <w:r w:rsidRPr="00464613">
        <w:rPr>
          <w:rFonts w:ascii="Arial" w:hAnsi="Arial" w:cs="Arial"/>
          <w:color w:val="000000"/>
          <w:sz w:val="28"/>
          <w:szCs w:val="28"/>
        </w:rPr>
        <w:instrText xml:space="preserve"> HYPERLINK "https://www.senado.gob.mx/64/gaceta_comision_permanente/documento/82814" \l "_ftn17" \o "" </w:instrText>
      </w:r>
      <w:r w:rsidR="005A7E60" w:rsidRPr="00464613">
        <w:rPr>
          <w:rFonts w:ascii="Arial" w:hAnsi="Arial" w:cs="Arial"/>
          <w:color w:val="000000"/>
          <w:sz w:val="28"/>
          <w:szCs w:val="28"/>
        </w:rPr>
        <w:fldChar w:fldCharType="separate"/>
      </w:r>
      <w:r w:rsidRPr="00464613">
        <w:rPr>
          <w:rStyle w:val="Hipervnculo"/>
          <w:rFonts w:ascii="Arial" w:hAnsi="Arial" w:cs="Arial"/>
          <w:color w:val="000000"/>
          <w:sz w:val="28"/>
          <w:szCs w:val="28"/>
        </w:rPr>
        <w:t> </w:t>
      </w:r>
      <w:r w:rsidR="005A7E60" w:rsidRPr="00464613">
        <w:rPr>
          <w:rFonts w:ascii="Arial" w:hAnsi="Arial" w:cs="Arial"/>
          <w:color w:val="000000"/>
          <w:sz w:val="28"/>
          <w:szCs w:val="28"/>
        </w:rPr>
        <w:fldChar w:fldCharType="end"/>
      </w:r>
      <w:bookmarkEnd w:id="7"/>
      <w:r w:rsidRPr="00464613">
        <w:rPr>
          <w:rFonts w:ascii="Arial" w:hAnsi="Arial" w:cs="Arial"/>
          <w:color w:val="000000"/>
          <w:sz w:val="28"/>
          <w:szCs w:val="28"/>
        </w:rPr>
        <w:t>, esto es, porque “los Esfuerzos para Corregir la Orientación Sexual e Identidad de Género, pueden constituirse como tratos crueles, inhumanos y degradantes e incluso hasta tortura, tal como la privación de la libertad, violaciones correctivas, electroshocks o la violencia psicológica, moral y económica”</w:t>
      </w:r>
      <w:bookmarkStart w:id="8" w:name="_ftnref18"/>
      <w:r w:rsidR="005A7E60" w:rsidRPr="00464613">
        <w:rPr>
          <w:rFonts w:ascii="Arial" w:hAnsi="Arial" w:cs="Arial"/>
          <w:color w:val="000000"/>
          <w:sz w:val="28"/>
          <w:szCs w:val="28"/>
        </w:rPr>
        <w:fldChar w:fldCharType="begin"/>
      </w:r>
      <w:r w:rsidRPr="00464613">
        <w:rPr>
          <w:rFonts w:ascii="Arial" w:hAnsi="Arial" w:cs="Arial"/>
          <w:color w:val="000000"/>
          <w:sz w:val="28"/>
          <w:szCs w:val="28"/>
        </w:rPr>
        <w:instrText xml:space="preserve"> HYPERLINK "https://www.senado.gob.mx/64/gaceta_comision_permanente/documento/82814" \l "_ftn18" \o "" </w:instrText>
      </w:r>
      <w:r w:rsidR="005A7E60" w:rsidRPr="00464613">
        <w:rPr>
          <w:rFonts w:ascii="Arial" w:hAnsi="Arial" w:cs="Arial"/>
          <w:color w:val="000000"/>
          <w:sz w:val="28"/>
          <w:szCs w:val="28"/>
        </w:rPr>
        <w:fldChar w:fldCharType="separate"/>
      </w:r>
      <w:r w:rsidRPr="00464613">
        <w:rPr>
          <w:rStyle w:val="Hipervnculo"/>
          <w:rFonts w:ascii="Arial" w:hAnsi="Arial" w:cs="Arial"/>
          <w:color w:val="000000"/>
          <w:sz w:val="28"/>
          <w:szCs w:val="28"/>
        </w:rPr>
        <w:t> </w:t>
      </w:r>
      <w:r w:rsidR="005A7E60" w:rsidRPr="00464613">
        <w:rPr>
          <w:rFonts w:ascii="Arial" w:hAnsi="Arial" w:cs="Arial"/>
          <w:color w:val="000000"/>
          <w:sz w:val="28"/>
          <w:szCs w:val="28"/>
        </w:rPr>
        <w:fldChar w:fldCharType="end"/>
      </w:r>
      <w:bookmarkEnd w:id="8"/>
      <w:r w:rsidRPr="00464613">
        <w:rPr>
          <w:rFonts w:ascii="Arial" w:hAnsi="Arial" w:cs="Arial"/>
          <w:color w:val="000000"/>
          <w:sz w:val="28"/>
          <w:szCs w:val="28"/>
        </w:rPr>
        <w:t>, además que resulta “discriminatorio [...] negar, obstaculizar o impedir la libre expresión de la orientación sexual e identidad de género de las personas”</w:t>
      </w:r>
      <w:bookmarkStart w:id="9" w:name="_ftnref19"/>
      <w:r w:rsidR="005A7E60" w:rsidRPr="00464613">
        <w:rPr>
          <w:rFonts w:ascii="Arial" w:hAnsi="Arial" w:cs="Arial"/>
          <w:color w:val="000000"/>
          <w:sz w:val="28"/>
          <w:szCs w:val="28"/>
        </w:rPr>
        <w:fldChar w:fldCharType="begin"/>
      </w:r>
      <w:r w:rsidRPr="00464613">
        <w:rPr>
          <w:rFonts w:ascii="Arial" w:hAnsi="Arial" w:cs="Arial"/>
          <w:color w:val="000000"/>
          <w:sz w:val="28"/>
          <w:szCs w:val="28"/>
        </w:rPr>
        <w:instrText xml:space="preserve"> HYPERLINK "https://www.senado.gob.mx/64/gaceta_comision_permanente/documento/82814" \l "_ftn19" \o "" </w:instrText>
      </w:r>
      <w:r w:rsidR="005A7E60" w:rsidRPr="00464613">
        <w:rPr>
          <w:rFonts w:ascii="Arial" w:hAnsi="Arial" w:cs="Arial"/>
          <w:color w:val="000000"/>
          <w:sz w:val="28"/>
          <w:szCs w:val="28"/>
        </w:rPr>
        <w:fldChar w:fldCharType="separate"/>
      </w:r>
      <w:r w:rsidRPr="00464613">
        <w:rPr>
          <w:rStyle w:val="Hipervnculo"/>
          <w:rFonts w:ascii="Arial" w:hAnsi="Arial" w:cs="Arial"/>
          <w:color w:val="000000"/>
          <w:sz w:val="28"/>
          <w:szCs w:val="28"/>
        </w:rPr>
        <w:t> </w:t>
      </w:r>
      <w:r w:rsidR="005A7E60" w:rsidRPr="00464613">
        <w:rPr>
          <w:rFonts w:ascii="Arial" w:hAnsi="Arial" w:cs="Arial"/>
          <w:color w:val="000000"/>
          <w:sz w:val="28"/>
          <w:szCs w:val="28"/>
        </w:rPr>
        <w:fldChar w:fldCharType="end"/>
      </w:r>
      <w:bookmarkEnd w:id="9"/>
      <w:r w:rsidRPr="00464613">
        <w:rPr>
          <w:rFonts w:ascii="Arial" w:hAnsi="Arial" w:cs="Arial"/>
          <w:color w:val="000000"/>
          <w:sz w:val="28"/>
          <w:szCs w:val="28"/>
        </w:rPr>
        <w:t>. En ese tenor, “la denuncia es la única vía para protegerla y acabar con la discriminación detonada por los prejuicios y por la homofobia hacia las personas homosexuales”</w:t>
      </w:r>
      <w:bookmarkStart w:id="10" w:name="_ftnref20"/>
      <w:r w:rsidR="005A7E60" w:rsidRPr="00464613">
        <w:rPr>
          <w:rFonts w:ascii="Arial" w:hAnsi="Arial" w:cs="Arial"/>
          <w:color w:val="000000"/>
          <w:sz w:val="28"/>
          <w:szCs w:val="28"/>
        </w:rPr>
        <w:fldChar w:fldCharType="begin"/>
      </w:r>
      <w:r w:rsidRPr="00464613">
        <w:rPr>
          <w:rFonts w:ascii="Arial" w:hAnsi="Arial" w:cs="Arial"/>
          <w:color w:val="000000"/>
          <w:sz w:val="28"/>
          <w:szCs w:val="28"/>
        </w:rPr>
        <w:instrText xml:space="preserve"> HYPERLINK "https://www.senado.gob.mx/64/gaceta_comision_permanente/documento/82814" \l "_ftn20" \o "" </w:instrText>
      </w:r>
      <w:r w:rsidR="005A7E60" w:rsidRPr="00464613">
        <w:rPr>
          <w:rFonts w:ascii="Arial" w:hAnsi="Arial" w:cs="Arial"/>
          <w:color w:val="000000"/>
          <w:sz w:val="28"/>
          <w:szCs w:val="28"/>
        </w:rPr>
        <w:fldChar w:fldCharType="separate"/>
      </w:r>
      <w:r w:rsidRPr="00464613">
        <w:rPr>
          <w:rStyle w:val="Hipervnculo"/>
          <w:rFonts w:ascii="Arial" w:hAnsi="Arial" w:cs="Arial"/>
          <w:color w:val="000000"/>
          <w:sz w:val="28"/>
          <w:szCs w:val="28"/>
        </w:rPr>
        <w:t> </w:t>
      </w:r>
      <w:r w:rsidR="005A7E60" w:rsidRPr="00464613">
        <w:rPr>
          <w:rFonts w:ascii="Arial" w:hAnsi="Arial" w:cs="Arial"/>
          <w:color w:val="000000"/>
          <w:sz w:val="28"/>
          <w:szCs w:val="28"/>
        </w:rPr>
        <w:fldChar w:fldCharType="end"/>
      </w:r>
      <w:bookmarkEnd w:id="10"/>
      <w:r w:rsidRPr="00464613">
        <w:rPr>
          <w:rFonts w:ascii="Arial" w:hAnsi="Arial" w:cs="Arial"/>
          <w:color w:val="000000"/>
          <w:sz w:val="28"/>
          <w:szCs w:val="28"/>
        </w:rPr>
        <w:t>, por lo que la presente iniciativa propone prohibir y sancionar cualquier práctica que promueva o se imparta, a fin de corregir la orientación sexual e identidad de género de las personas, “por considerarse un atentado al derecho de la libre construcción de la personalidad”</w:t>
      </w:r>
      <w:r w:rsidRPr="00464613">
        <w:rPr>
          <w:rFonts w:ascii="Verdana" w:hAnsi="Verdana"/>
          <w:color w:val="000000"/>
          <w:sz w:val="28"/>
          <w:szCs w:val="28"/>
        </w:rPr>
        <w:t>.</w:t>
      </w:r>
    </w:p>
    <w:p w:rsidR="00B16E24" w:rsidRPr="00464613" w:rsidRDefault="00B16E24" w:rsidP="00B16E24">
      <w:pPr>
        <w:spacing w:line="360" w:lineRule="auto"/>
        <w:jc w:val="both"/>
        <w:rPr>
          <w:rFonts w:ascii="Arial" w:hAnsi="Arial" w:cs="Arial"/>
          <w:bCs/>
          <w:sz w:val="28"/>
          <w:szCs w:val="28"/>
        </w:rPr>
      </w:pPr>
      <w:r w:rsidRPr="00464613">
        <w:rPr>
          <w:rFonts w:ascii="Arial" w:hAnsi="Arial" w:cs="Arial"/>
          <w:sz w:val="28"/>
          <w:szCs w:val="28"/>
        </w:rPr>
        <w:t xml:space="preserve">Por lo anteriormente expuesto es que se somete a consideración de este Honorable Congreso del Estado, para su revisión, análisis y, en su caso, aprobación, la siguiente </w:t>
      </w:r>
      <w:r w:rsidRPr="00464613">
        <w:rPr>
          <w:rFonts w:ascii="Arial" w:hAnsi="Arial" w:cs="Arial"/>
          <w:bCs/>
          <w:sz w:val="28"/>
          <w:szCs w:val="28"/>
        </w:rPr>
        <w:t xml:space="preserve">Iniciativa con Proyecto de Decreto, por </w:t>
      </w:r>
      <w:r w:rsidR="00222208" w:rsidRPr="00464613">
        <w:rPr>
          <w:rFonts w:ascii="Arial" w:hAnsi="Arial" w:cs="Arial"/>
          <w:bCs/>
          <w:sz w:val="28"/>
          <w:szCs w:val="28"/>
        </w:rPr>
        <w:t xml:space="preserve">el que se </w:t>
      </w:r>
      <w:r w:rsidRPr="00464613">
        <w:rPr>
          <w:rFonts w:ascii="Arial" w:hAnsi="Arial" w:cs="Arial"/>
          <w:bCs/>
          <w:sz w:val="28"/>
          <w:szCs w:val="28"/>
        </w:rPr>
        <w:t>agrega el art</w:t>
      </w:r>
      <w:r w:rsidR="00C633B9" w:rsidRPr="00464613">
        <w:rPr>
          <w:rFonts w:ascii="Arial" w:hAnsi="Arial" w:cs="Arial"/>
          <w:bCs/>
          <w:sz w:val="28"/>
          <w:szCs w:val="28"/>
        </w:rPr>
        <w:t>ículo 223 Bis al</w:t>
      </w:r>
      <w:r w:rsidRPr="00464613">
        <w:rPr>
          <w:rFonts w:ascii="Arial" w:hAnsi="Arial" w:cs="Arial"/>
          <w:bCs/>
          <w:sz w:val="28"/>
          <w:szCs w:val="28"/>
        </w:rPr>
        <w:t xml:space="preserve"> Código Penal de Coahuila de Zaragoza,</w:t>
      </w:r>
      <w:r w:rsidRPr="00464613">
        <w:rPr>
          <w:rFonts w:ascii="Arial" w:eastAsia="Arial" w:hAnsi="Arial" w:cs="Arial"/>
          <w:sz w:val="28"/>
          <w:szCs w:val="28"/>
        </w:rPr>
        <w:t xml:space="preserve"> </w:t>
      </w:r>
      <w:r w:rsidRPr="00464613">
        <w:rPr>
          <w:rFonts w:ascii="Arial" w:eastAsia="Arial" w:hAnsi="Arial" w:cs="Arial"/>
          <w:bCs/>
          <w:sz w:val="28"/>
          <w:szCs w:val="28"/>
        </w:rPr>
        <w:t xml:space="preserve">para quedar como sigue: </w:t>
      </w:r>
    </w:p>
    <w:p w:rsidR="00B16E24" w:rsidRPr="00464613" w:rsidRDefault="00B16E24" w:rsidP="00B16E24">
      <w:pPr>
        <w:spacing w:line="360" w:lineRule="auto"/>
        <w:jc w:val="both"/>
        <w:rPr>
          <w:rFonts w:ascii="Arial" w:hAnsi="Arial" w:cs="Arial"/>
          <w:b/>
          <w:bCs/>
          <w:sz w:val="28"/>
          <w:szCs w:val="28"/>
        </w:rPr>
      </w:pPr>
    </w:p>
    <w:p w:rsidR="000C7B5E" w:rsidRPr="00464613" w:rsidRDefault="000C7B5E" w:rsidP="0043156B">
      <w:pPr>
        <w:spacing w:line="360" w:lineRule="auto"/>
        <w:jc w:val="both"/>
        <w:rPr>
          <w:rFonts w:ascii="Arial" w:hAnsi="Arial" w:cs="Arial"/>
          <w:bCs/>
          <w:sz w:val="28"/>
          <w:szCs w:val="28"/>
        </w:rPr>
      </w:pPr>
      <w:r w:rsidRPr="00464613">
        <w:rPr>
          <w:rFonts w:ascii="Arial" w:hAnsi="Arial" w:cs="Arial"/>
          <w:b/>
          <w:sz w:val="28"/>
          <w:szCs w:val="28"/>
        </w:rPr>
        <w:t>ARTÍCULO 223 BIS.</w:t>
      </w:r>
      <w:r w:rsidRPr="00464613">
        <w:rPr>
          <w:rFonts w:ascii="Arial" w:hAnsi="Arial" w:cs="Arial"/>
          <w:sz w:val="28"/>
          <w:szCs w:val="28"/>
        </w:rPr>
        <w:t xml:space="preserve"> </w:t>
      </w:r>
      <w:r w:rsidRPr="00464613">
        <w:rPr>
          <w:rFonts w:ascii="Arial" w:hAnsi="Arial" w:cs="Arial"/>
          <w:bCs/>
          <w:sz w:val="28"/>
          <w:szCs w:val="28"/>
        </w:rPr>
        <w:t xml:space="preserve">A quien imparta u obligue a otro a recibir una terapia de conversión se le impondrán de dos a cinco años de prisión y de cincuenta a cien horas de trabajo en favor de la comunidad. Este delito se perseguirá por querella. </w:t>
      </w:r>
    </w:p>
    <w:p w:rsidR="000C7B5E" w:rsidRPr="00464613" w:rsidRDefault="000C7B5E" w:rsidP="0043156B">
      <w:pPr>
        <w:spacing w:line="360" w:lineRule="auto"/>
        <w:jc w:val="both"/>
        <w:rPr>
          <w:rFonts w:ascii="Arial" w:hAnsi="Arial" w:cs="Arial"/>
          <w:bCs/>
          <w:sz w:val="28"/>
          <w:szCs w:val="28"/>
        </w:rPr>
      </w:pPr>
    </w:p>
    <w:p w:rsidR="000C7B5E" w:rsidRPr="00464613" w:rsidRDefault="000C7B5E" w:rsidP="0043156B">
      <w:pPr>
        <w:spacing w:line="360" w:lineRule="auto"/>
        <w:jc w:val="both"/>
        <w:rPr>
          <w:rFonts w:ascii="Arial" w:hAnsi="Arial" w:cs="Arial"/>
          <w:bCs/>
          <w:sz w:val="28"/>
          <w:szCs w:val="28"/>
        </w:rPr>
      </w:pPr>
      <w:r w:rsidRPr="00464613">
        <w:rPr>
          <w:rFonts w:ascii="Arial" w:hAnsi="Arial" w:cs="Arial"/>
          <w:bCs/>
          <w:sz w:val="28"/>
          <w:szCs w:val="28"/>
        </w:rPr>
        <w:t>Se entiende por terapias de conversión, aquellas prácticas consistentes en sesiones psicológicas, psiquiátricas, métodos o tratamientos que tenga por objeto anular, obstaculizar, modificar o menoscabar la expresión o identidad de género, así como la orientación sexual de la persona, en las que se emplea violencia física, moral o psicoemocional, mediante tratos crueles, inhumanos o degradantes que atenten contra la dignidad humana.</w:t>
      </w:r>
    </w:p>
    <w:p w:rsidR="000C7B5E" w:rsidRPr="00464613" w:rsidRDefault="000C7B5E" w:rsidP="0043156B">
      <w:pPr>
        <w:spacing w:line="360" w:lineRule="auto"/>
        <w:jc w:val="both"/>
        <w:rPr>
          <w:rFonts w:ascii="Arial" w:hAnsi="Arial" w:cs="Arial"/>
          <w:bCs/>
          <w:sz w:val="28"/>
          <w:szCs w:val="28"/>
        </w:rPr>
      </w:pPr>
    </w:p>
    <w:p w:rsidR="000C7B5E" w:rsidRPr="00464613" w:rsidRDefault="000C7B5E" w:rsidP="0043156B">
      <w:pPr>
        <w:spacing w:line="360" w:lineRule="auto"/>
        <w:jc w:val="both"/>
        <w:rPr>
          <w:rFonts w:ascii="Arial" w:hAnsi="Arial" w:cs="Arial"/>
          <w:bCs/>
          <w:sz w:val="28"/>
          <w:szCs w:val="28"/>
        </w:rPr>
      </w:pPr>
      <w:r w:rsidRPr="00464613">
        <w:rPr>
          <w:rFonts w:ascii="Arial" w:hAnsi="Arial" w:cs="Arial"/>
          <w:bCs/>
          <w:sz w:val="28"/>
          <w:szCs w:val="28"/>
        </w:rPr>
        <w:t xml:space="preserve">Si la terapia de conversión se hiciere en un menor de dieciocho años de edad o persona que no tenga capacidad para comprender el significado del hecho o persona que no tenga la capacidad de resistir la conducta, la pena se aumentará </w:t>
      </w:r>
      <w:r w:rsidR="00C633B9" w:rsidRPr="00464613">
        <w:rPr>
          <w:rFonts w:ascii="Arial" w:hAnsi="Arial" w:cs="Arial"/>
          <w:bCs/>
          <w:sz w:val="28"/>
          <w:szCs w:val="28"/>
        </w:rPr>
        <w:t>en una mitad y se perseguirá de</w:t>
      </w:r>
      <w:r w:rsidRPr="00464613">
        <w:rPr>
          <w:rFonts w:ascii="Arial" w:hAnsi="Arial" w:cs="Arial"/>
          <w:bCs/>
          <w:sz w:val="28"/>
          <w:szCs w:val="28"/>
        </w:rPr>
        <w:t xml:space="preserve"> oficio.</w:t>
      </w:r>
    </w:p>
    <w:p w:rsidR="000C7B5E" w:rsidRPr="00464613" w:rsidRDefault="000C7B5E" w:rsidP="0043156B">
      <w:pPr>
        <w:pStyle w:val="Normal1"/>
        <w:spacing w:line="360" w:lineRule="auto"/>
        <w:jc w:val="both"/>
        <w:rPr>
          <w:rFonts w:ascii="Arial" w:hAnsi="Arial" w:cs="Arial"/>
          <w:sz w:val="28"/>
          <w:szCs w:val="28"/>
        </w:rPr>
      </w:pPr>
    </w:p>
    <w:p w:rsidR="00061A49" w:rsidRPr="00464613" w:rsidRDefault="00402A3C">
      <w:pPr>
        <w:pStyle w:val="Normal1"/>
        <w:spacing w:line="360" w:lineRule="auto"/>
        <w:jc w:val="center"/>
        <w:rPr>
          <w:rFonts w:ascii="Arial" w:eastAsia="Arial" w:hAnsi="Arial" w:cs="Arial"/>
          <w:b/>
          <w:sz w:val="28"/>
          <w:szCs w:val="28"/>
        </w:rPr>
      </w:pPr>
      <w:r w:rsidRPr="00464613">
        <w:rPr>
          <w:rFonts w:ascii="Arial" w:eastAsia="Arial" w:hAnsi="Arial" w:cs="Arial"/>
          <w:b/>
          <w:sz w:val="28"/>
          <w:szCs w:val="28"/>
        </w:rPr>
        <w:t xml:space="preserve">ARTICULO T R A N S I T O R I O </w:t>
      </w:r>
    </w:p>
    <w:p w:rsidR="00061A49" w:rsidRPr="00464613" w:rsidRDefault="00402A3C">
      <w:pPr>
        <w:pStyle w:val="Normal1"/>
        <w:spacing w:line="360" w:lineRule="auto"/>
        <w:jc w:val="both"/>
        <w:rPr>
          <w:rFonts w:ascii="Arial" w:eastAsia="Arial" w:hAnsi="Arial" w:cs="Arial"/>
          <w:b/>
          <w:sz w:val="28"/>
          <w:szCs w:val="28"/>
        </w:rPr>
      </w:pPr>
      <w:r w:rsidRPr="00464613">
        <w:rPr>
          <w:rFonts w:ascii="Arial" w:eastAsia="Arial" w:hAnsi="Arial" w:cs="Arial"/>
          <w:b/>
          <w:sz w:val="28"/>
          <w:szCs w:val="28"/>
        </w:rPr>
        <w:t>ÚNICO.- EL PRESENTE DECRETO ENTRARÁ EN VIGOR AL DÍA SIGUIENTE DE SU PUBLICACIÓN EN EL PERIÓDICO OFICIAL DEL GOBIERNO DEL ESTADO.</w:t>
      </w:r>
    </w:p>
    <w:p w:rsidR="00061A49" w:rsidRPr="00464613"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464613">
        <w:rPr>
          <w:rFonts w:ascii="Arial" w:eastAsia="Arial,Bold" w:hAnsi="Arial" w:cs="Arial"/>
          <w:b/>
          <w:color w:val="000000"/>
          <w:sz w:val="28"/>
          <w:szCs w:val="28"/>
        </w:rPr>
        <w:t>Atentamente</w:t>
      </w:r>
    </w:p>
    <w:p w:rsidR="00061A49" w:rsidRPr="00464613"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464613">
        <w:rPr>
          <w:rFonts w:ascii="Arial" w:eastAsia="Arial,Bold" w:hAnsi="Arial" w:cs="Arial"/>
          <w:b/>
          <w:color w:val="000000"/>
          <w:sz w:val="28"/>
          <w:szCs w:val="28"/>
        </w:rPr>
        <w:t>Saltillo, Coahui</w:t>
      </w:r>
      <w:r w:rsidR="004A5003" w:rsidRPr="00464613">
        <w:rPr>
          <w:rFonts w:ascii="Arial" w:eastAsia="Arial,Bold" w:hAnsi="Arial" w:cs="Arial"/>
          <w:b/>
          <w:color w:val="000000"/>
          <w:sz w:val="28"/>
          <w:szCs w:val="28"/>
        </w:rPr>
        <w:t xml:space="preserve">la, </w:t>
      </w:r>
      <w:r w:rsidR="00EE15A5" w:rsidRPr="00464613">
        <w:rPr>
          <w:rFonts w:ascii="Arial" w:eastAsia="Arial,Bold" w:hAnsi="Arial" w:cs="Arial"/>
          <w:b/>
          <w:color w:val="000000"/>
          <w:sz w:val="28"/>
          <w:szCs w:val="28"/>
        </w:rPr>
        <w:t>Abril</w:t>
      </w:r>
      <w:r w:rsidR="00605D0E">
        <w:rPr>
          <w:rFonts w:ascii="Arial" w:eastAsia="Arial,Bold" w:hAnsi="Arial" w:cs="Arial"/>
          <w:b/>
          <w:color w:val="000000"/>
          <w:sz w:val="28"/>
          <w:szCs w:val="28"/>
        </w:rPr>
        <w:t xml:space="preserve"> 27</w:t>
      </w:r>
      <w:r w:rsidR="004A5003" w:rsidRPr="00464613">
        <w:rPr>
          <w:rFonts w:ascii="Arial" w:eastAsia="Arial,Bold" w:hAnsi="Arial" w:cs="Arial"/>
          <w:b/>
          <w:color w:val="000000"/>
          <w:sz w:val="28"/>
          <w:szCs w:val="28"/>
        </w:rPr>
        <w:t xml:space="preserve"> de 2022</w:t>
      </w:r>
    </w:p>
    <w:p w:rsidR="00061A49" w:rsidRPr="00464613"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464613">
        <w:rPr>
          <w:rFonts w:ascii="Arial" w:eastAsia="Arial,Bold" w:hAnsi="Arial" w:cs="Arial"/>
          <w:b/>
          <w:color w:val="000000"/>
          <w:sz w:val="28"/>
          <w:szCs w:val="28"/>
        </w:rPr>
        <w:t>Grupo Parlamentario de morena</w:t>
      </w:r>
    </w:p>
    <w:p w:rsidR="00061A49" w:rsidRPr="00464613" w:rsidRDefault="00605D0E">
      <w:pPr>
        <w:pStyle w:val="Normal1"/>
        <w:pBdr>
          <w:top w:val="nil"/>
          <w:left w:val="nil"/>
          <w:bottom w:val="nil"/>
          <w:right w:val="nil"/>
          <w:between w:val="nil"/>
        </w:pBdr>
        <w:jc w:val="center"/>
        <w:rPr>
          <w:rFonts w:ascii="Arial" w:eastAsia="Times New Roman" w:hAnsi="Arial" w:cs="Arial"/>
          <w:b/>
          <w:color w:val="000000"/>
          <w:sz w:val="28"/>
          <w:szCs w:val="28"/>
        </w:rPr>
      </w:pPr>
      <w:r>
        <w:rPr>
          <w:rFonts w:ascii="Arial" w:eastAsia="Times New Roman" w:hAnsi="Arial" w:cs="Arial"/>
          <w:b/>
          <w:noProof/>
          <w:color w:val="000000"/>
          <w:sz w:val="28"/>
          <w:szCs w:val="28"/>
          <w:lang w:val="es-MX"/>
        </w:rPr>
        <w:drawing>
          <wp:anchor distT="0" distB="0" distL="114300" distR="114300" simplePos="0" relativeHeight="251659264" behindDoc="0" locked="0" layoutInCell="1" allowOverlap="1">
            <wp:simplePos x="0" y="0"/>
            <wp:positionH relativeFrom="column">
              <wp:posOffset>2179320</wp:posOffset>
            </wp:positionH>
            <wp:positionV relativeFrom="paragraph">
              <wp:posOffset>154940</wp:posOffset>
            </wp:positionV>
            <wp:extent cx="2317750" cy="560070"/>
            <wp:effectExtent l="0" t="0" r="0" b="0"/>
            <wp:wrapSquare wrapText="bothSides"/>
            <wp:docPr id="9"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8">
                      <a:extLst>
                        <a:ext uri="{28A0092B-C50C-407E-A947-70E740481C1C}">
                          <a14:useLocalDpi xmlns:a14="http://schemas.microsoft.com/office/drawing/2010/main" val="0"/>
                        </a:ext>
                      </a:extLst>
                    </a:blip>
                    <a:srcRect l="13471" t="27407" r="25648" b="20741"/>
                    <a:stretch>
                      <a:fillRect/>
                    </a:stretch>
                  </pic:blipFill>
                  <pic:spPr bwMode="auto">
                    <a:xfrm>
                      <a:off x="0" y="0"/>
                      <a:ext cx="2317750" cy="560070"/>
                    </a:xfrm>
                    <a:prstGeom prst="rect">
                      <a:avLst/>
                    </a:prstGeom>
                    <a:noFill/>
                    <a:ln>
                      <a:noFill/>
                    </a:ln>
                  </pic:spPr>
                </pic:pic>
              </a:graphicData>
            </a:graphic>
          </wp:anchor>
        </w:drawing>
      </w:r>
    </w:p>
    <w:p w:rsidR="00061A49" w:rsidRPr="00464613" w:rsidRDefault="00061A49">
      <w:pPr>
        <w:pStyle w:val="Normal1"/>
        <w:pBdr>
          <w:top w:val="nil"/>
          <w:left w:val="nil"/>
          <w:bottom w:val="nil"/>
          <w:right w:val="nil"/>
          <w:between w:val="nil"/>
        </w:pBdr>
        <w:jc w:val="center"/>
        <w:rPr>
          <w:rFonts w:ascii="Times New Roman" w:eastAsia="Times New Roman" w:hAnsi="Times New Roman" w:cs="Times New Roman"/>
          <w:b/>
          <w:color w:val="000000"/>
          <w:sz w:val="28"/>
          <w:szCs w:val="28"/>
        </w:rPr>
      </w:pPr>
    </w:p>
    <w:p w:rsidR="00061A49" w:rsidRDefault="00061A49">
      <w:pPr>
        <w:pStyle w:val="Normal1"/>
        <w:pBdr>
          <w:top w:val="nil"/>
          <w:left w:val="nil"/>
          <w:bottom w:val="nil"/>
          <w:right w:val="nil"/>
          <w:between w:val="nil"/>
        </w:pBdr>
        <w:jc w:val="center"/>
        <w:rPr>
          <w:rFonts w:ascii="Times New Roman" w:eastAsia="Times New Roman" w:hAnsi="Times New Roman" w:cs="Times New Roman"/>
          <w:b/>
          <w:color w:val="000000"/>
          <w:sz w:val="28"/>
          <w:szCs w:val="28"/>
        </w:rPr>
      </w:pPr>
    </w:p>
    <w:p w:rsidR="00605D0E" w:rsidRPr="00464613" w:rsidRDefault="00605D0E">
      <w:pPr>
        <w:pStyle w:val="Normal1"/>
        <w:pBdr>
          <w:top w:val="nil"/>
          <w:left w:val="nil"/>
          <w:bottom w:val="nil"/>
          <w:right w:val="nil"/>
          <w:between w:val="nil"/>
        </w:pBdr>
        <w:jc w:val="center"/>
        <w:rPr>
          <w:rFonts w:ascii="Times New Roman" w:eastAsia="Times New Roman" w:hAnsi="Times New Roman" w:cs="Times New Roman"/>
          <w:b/>
          <w:color w:val="000000"/>
          <w:sz w:val="28"/>
          <w:szCs w:val="28"/>
        </w:rPr>
      </w:pPr>
    </w:p>
    <w:p w:rsidR="00061A49" w:rsidRPr="00464613"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464613">
        <w:rPr>
          <w:rFonts w:ascii="Arial" w:eastAsia="Arial,Bold" w:hAnsi="Arial" w:cs="Arial"/>
          <w:b/>
          <w:color w:val="000000"/>
          <w:sz w:val="28"/>
          <w:szCs w:val="28"/>
        </w:rPr>
        <w:t>Dip. Teresa de Jesús Meraz García</w:t>
      </w:r>
    </w:p>
    <w:p w:rsidR="00061A49" w:rsidRPr="00464613" w:rsidRDefault="00605D0E">
      <w:pPr>
        <w:pStyle w:val="Normal1"/>
        <w:pBdr>
          <w:top w:val="nil"/>
          <w:left w:val="nil"/>
          <w:bottom w:val="nil"/>
          <w:right w:val="nil"/>
          <w:between w:val="nil"/>
        </w:pBdr>
        <w:jc w:val="center"/>
        <w:rPr>
          <w:rFonts w:ascii="Arial" w:eastAsia="Arial,Bold" w:hAnsi="Arial" w:cs="Arial"/>
          <w:b/>
          <w:color w:val="000000"/>
          <w:sz w:val="28"/>
          <w:szCs w:val="28"/>
        </w:rPr>
      </w:pPr>
      <w:r>
        <w:rPr>
          <w:rFonts w:ascii="Arial" w:eastAsia="Arial,Bold" w:hAnsi="Arial" w:cs="Arial"/>
          <w:b/>
          <w:noProof/>
          <w:color w:val="000000"/>
          <w:sz w:val="28"/>
          <w:szCs w:val="28"/>
          <w:lang w:val="es-MX"/>
        </w:rPr>
        <w:drawing>
          <wp:anchor distT="0" distB="0" distL="114300" distR="114300" simplePos="0" relativeHeight="251661312" behindDoc="0" locked="0" layoutInCell="1" allowOverlap="1">
            <wp:simplePos x="0" y="0"/>
            <wp:positionH relativeFrom="column">
              <wp:posOffset>2475865</wp:posOffset>
            </wp:positionH>
            <wp:positionV relativeFrom="paragraph">
              <wp:posOffset>46990</wp:posOffset>
            </wp:positionV>
            <wp:extent cx="1609725" cy="662940"/>
            <wp:effectExtent l="0" t="0" r="0" b="0"/>
            <wp:wrapThrough wrapText="bothSides">
              <wp:wrapPolygon edited="0">
                <wp:start x="1278" y="0"/>
                <wp:lineTo x="1534" y="10552"/>
                <wp:lineTo x="8180" y="19862"/>
                <wp:lineTo x="8691" y="19862"/>
                <wp:lineTo x="8691" y="20483"/>
                <wp:lineTo x="8947" y="20483"/>
                <wp:lineTo x="10225" y="20483"/>
                <wp:lineTo x="16360" y="19862"/>
                <wp:lineTo x="17893" y="16759"/>
                <wp:lineTo x="16871" y="3103"/>
                <wp:lineTo x="14315" y="621"/>
                <wp:lineTo x="6391" y="0"/>
                <wp:lineTo x="1278" y="0"/>
              </wp:wrapPolygon>
            </wp:wrapThrough>
            <wp:docPr id="10"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09725" cy="662940"/>
                    </a:xfrm>
                    <a:prstGeom prst="rect">
                      <a:avLst/>
                    </a:prstGeom>
                    <a:noFill/>
                    <a:ln w="9525">
                      <a:noFill/>
                      <a:miter lim="800000"/>
                      <a:headEnd/>
                      <a:tailEnd/>
                    </a:ln>
                  </pic:spPr>
                </pic:pic>
              </a:graphicData>
            </a:graphic>
          </wp:anchor>
        </w:drawing>
      </w:r>
    </w:p>
    <w:p w:rsidR="00061A49" w:rsidRDefault="00061A49">
      <w:pPr>
        <w:pStyle w:val="Normal1"/>
        <w:pBdr>
          <w:top w:val="nil"/>
          <w:left w:val="nil"/>
          <w:bottom w:val="nil"/>
          <w:right w:val="nil"/>
          <w:between w:val="nil"/>
        </w:pBdr>
        <w:jc w:val="center"/>
        <w:rPr>
          <w:rFonts w:ascii="Arial" w:eastAsia="Arial,Bold" w:hAnsi="Arial" w:cs="Arial"/>
          <w:b/>
          <w:color w:val="000000"/>
          <w:sz w:val="28"/>
          <w:szCs w:val="28"/>
        </w:rPr>
      </w:pPr>
    </w:p>
    <w:p w:rsidR="00605D0E" w:rsidRDefault="00605D0E">
      <w:pPr>
        <w:pStyle w:val="Normal1"/>
        <w:pBdr>
          <w:top w:val="nil"/>
          <w:left w:val="nil"/>
          <w:bottom w:val="nil"/>
          <w:right w:val="nil"/>
          <w:between w:val="nil"/>
        </w:pBdr>
        <w:jc w:val="center"/>
        <w:rPr>
          <w:rFonts w:ascii="Arial" w:eastAsia="Arial,Bold" w:hAnsi="Arial" w:cs="Arial"/>
          <w:b/>
          <w:color w:val="000000"/>
          <w:sz w:val="28"/>
          <w:szCs w:val="28"/>
        </w:rPr>
      </w:pPr>
    </w:p>
    <w:p w:rsidR="00605D0E" w:rsidRPr="00464613" w:rsidRDefault="00605D0E">
      <w:pPr>
        <w:pStyle w:val="Normal1"/>
        <w:pBdr>
          <w:top w:val="nil"/>
          <w:left w:val="nil"/>
          <w:bottom w:val="nil"/>
          <w:right w:val="nil"/>
          <w:between w:val="nil"/>
        </w:pBdr>
        <w:jc w:val="center"/>
        <w:rPr>
          <w:rFonts w:ascii="Arial" w:eastAsia="Arial,Bold" w:hAnsi="Arial" w:cs="Arial"/>
          <w:b/>
          <w:color w:val="000000"/>
          <w:sz w:val="28"/>
          <w:szCs w:val="28"/>
        </w:rPr>
      </w:pPr>
      <w:r>
        <w:rPr>
          <w:rFonts w:ascii="Arial" w:eastAsia="Arial,Bold" w:hAnsi="Arial" w:cs="Arial"/>
          <w:b/>
          <w:noProof/>
          <w:color w:val="000000"/>
          <w:sz w:val="28"/>
          <w:szCs w:val="28"/>
          <w:lang w:val="es-MX"/>
        </w:rPr>
        <w:drawing>
          <wp:anchor distT="0" distB="0" distL="114300" distR="114300" simplePos="0" relativeHeight="251663360" behindDoc="0" locked="0" layoutInCell="1" allowOverlap="1">
            <wp:simplePos x="0" y="0"/>
            <wp:positionH relativeFrom="page">
              <wp:posOffset>3200400</wp:posOffset>
            </wp:positionH>
            <wp:positionV relativeFrom="paragraph">
              <wp:posOffset>635</wp:posOffset>
            </wp:positionV>
            <wp:extent cx="615315" cy="1680210"/>
            <wp:effectExtent l="495300" t="0" r="489585" b="0"/>
            <wp:wrapThrough wrapText="bothSides">
              <wp:wrapPolygon edited="0">
                <wp:start x="18892" y="7824"/>
                <wp:lineTo x="9529" y="478"/>
                <wp:lineTo x="2842" y="1212"/>
                <wp:lineTo x="2842" y="3416"/>
                <wp:lineTo x="2842" y="6845"/>
                <wp:lineTo x="8861" y="21049"/>
                <wp:lineTo x="18892" y="9049"/>
                <wp:lineTo x="18892" y="7824"/>
              </wp:wrapPolygon>
            </wp:wrapThrough>
            <wp:docPr id="11"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15315" cy="1680210"/>
                    </a:xfrm>
                    <a:prstGeom prst="rect">
                      <a:avLst/>
                    </a:prstGeom>
                    <a:noFill/>
                    <a:ln>
                      <a:noFill/>
                    </a:ln>
                    <a:extLst>
                      <a:ext uri="{53640926-AAD7-44D8-BBD7-CCE9431645EC}">
                        <a14:shadowObscured xmlns:a14="http://schemas.microsoft.com/office/drawing/2010/main"/>
                      </a:ext>
                    </a:extLst>
                  </pic:spPr>
                </pic:pic>
              </a:graphicData>
            </a:graphic>
          </wp:anchor>
        </w:drawing>
      </w:r>
    </w:p>
    <w:p w:rsidR="00061A49" w:rsidRPr="00464613"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464613">
        <w:rPr>
          <w:rFonts w:ascii="Arial" w:eastAsia="Arial,Bold" w:hAnsi="Arial" w:cs="Arial"/>
          <w:b/>
          <w:color w:val="000000"/>
          <w:sz w:val="28"/>
          <w:szCs w:val="28"/>
        </w:rPr>
        <w:t>Dip. Lizbeth Ogazón Nava</w:t>
      </w:r>
    </w:p>
    <w:p w:rsidR="00061A49" w:rsidRPr="00464613"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061A49"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605D0E" w:rsidRDefault="00605D0E">
      <w:pPr>
        <w:pStyle w:val="Normal1"/>
        <w:pBdr>
          <w:top w:val="nil"/>
          <w:left w:val="nil"/>
          <w:bottom w:val="nil"/>
          <w:right w:val="nil"/>
          <w:between w:val="nil"/>
        </w:pBdr>
        <w:jc w:val="center"/>
        <w:rPr>
          <w:rFonts w:ascii="Arial" w:eastAsia="Times New Roman" w:hAnsi="Arial" w:cs="Arial"/>
          <w:b/>
          <w:color w:val="000000"/>
          <w:sz w:val="28"/>
          <w:szCs w:val="28"/>
        </w:rPr>
      </w:pPr>
    </w:p>
    <w:p w:rsidR="00605D0E" w:rsidRPr="00464613" w:rsidRDefault="00605D0E">
      <w:pPr>
        <w:pStyle w:val="Normal1"/>
        <w:pBdr>
          <w:top w:val="nil"/>
          <w:left w:val="nil"/>
          <w:bottom w:val="nil"/>
          <w:right w:val="nil"/>
          <w:between w:val="nil"/>
        </w:pBdr>
        <w:jc w:val="center"/>
        <w:rPr>
          <w:rFonts w:ascii="Arial" w:eastAsia="Times New Roman" w:hAnsi="Arial" w:cs="Arial"/>
          <w:b/>
          <w:color w:val="000000"/>
          <w:sz w:val="28"/>
          <w:szCs w:val="28"/>
        </w:rPr>
      </w:pPr>
    </w:p>
    <w:p w:rsidR="00061A49" w:rsidRPr="00464613"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464613">
        <w:rPr>
          <w:rFonts w:ascii="Arial" w:eastAsia="Arial,Bold" w:hAnsi="Arial" w:cs="Arial"/>
          <w:b/>
          <w:color w:val="000000"/>
          <w:sz w:val="28"/>
          <w:szCs w:val="28"/>
        </w:rPr>
        <w:t>Dip. Laura Francisca Aguilar Tabares</w:t>
      </w:r>
    </w:p>
    <w:p w:rsidR="00061A49" w:rsidRPr="00464613" w:rsidRDefault="00061A49">
      <w:pPr>
        <w:pStyle w:val="Normal1"/>
        <w:pBdr>
          <w:top w:val="nil"/>
          <w:left w:val="nil"/>
          <w:bottom w:val="nil"/>
          <w:right w:val="nil"/>
          <w:between w:val="nil"/>
        </w:pBdr>
        <w:jc w:val="center"/>
        <w:rPr>
          <w:rFonts w:ascii="Arial" w:eastAsia="Arial,Bold" w:hAnsi="Arial" w:cs="Arial"/>
          <w:b/>
          <w:color w:val="000000"/>
          <w:sz w:val="28"/>
          <w:szCs w:val="28"/>
        </w:rPr>
      </w:pPr>
    </w:p>
    <w:p w:rsidR="00C633B9" w:rsidRPr="00464613" w:rsidRDefault="00C633B9">
      <w:pPr>
        <w:pStyle w:val="Normal1"/>
        <w:pBdr>
          <w:top w:val="nil"/>
          <w:left w:val="nil"/>
          <w:bottom w:val="nil"/>
          <w:right w:val="nil"/>
          <w:between w:val="nil"/>
        </w:pBdr>
        <w:jc w:val="center"/>
        <w:rPr>
          <w:rFonts w:ascii="Arial" w:eastAsia="Arial,Bold" w:hAnsi="Arial" w:cs="Arial"/>
          <w:b/>
          <w:color w:val="000000"/>
          <w:sz w:val="28"/>
          <w:szCs w:val="28"/>
        </w:rPr>
      </w:pPr>
    </w:p>
    <w:p w:rsidR="00061A49" w:rsidRPr="00464613" w:rsidRDefault="00402A3C">
      <w:pPr>
        <w:pStyle w:val="Normal1"/>
        <w:pBdr>
          <w:top w:val="nil"/>
          <w:left w:val="nil"/>
          <w:bottom w:val="nil"/>
          <w:right w:val="nil"/>
          <w:between w:val="nil"/>
        </w:pBdr>
        <w:jc w:val="center"/>
        <w:rPr>
          <w:rFonts w:ascii="Arial" w:eastAsia="Arial" w:hAnsi="Arial" w:cs="Arial"/>
          <w:color w:val="000000"/>
          <w:sz w:val="28"/>
          <w:szCs w:val="28"/>
        </w:rPr>
      </w:pPr>
      <w:r w:rsidRPr="00464613">
        <w:rPr>
          <w:rFonts w:ascii="Arial" w:eastAsia="Arial,Bold" w:hAnsi="Arial" w:cs="Arial"/>
          <w:b/>
          <w:color w:val="000000"/>
          <w:sz w:val="28"/>
          <w:szCs w:val="28"/>
        </w:rPr>
        <w:t>Dip. Francisco Javier Cortez Gómez</w:t>
      </w:r>
    </w:p>
    <w:sectPr w:rsidR="00061A49" w:rsidRPr="00464613" w:rsidSect="00D37A24">
      <w:headerReference w:type="default" r:id="rId12"/>
      <w:footerReference w:type="default" r:id="rId13"/>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7F" w:rsidRDefault="0013237F" w:rsidP="00061A49">
      <w:r>
        <w:separator/>
      </w:r>
    </w:p>
  </w:endnote>
  <w:endnote w:type="continuationSeparator" w:id="0">
    <w:p w:rsidR="0013237F" w:rsidRDefault="0013237F" w:rsidP="0006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5A7E6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402A3C">
      <w:rPr>
        <w:color w:val="000000"/>
      </w:rPr>
      <w:instrText>PAGE</w:instrText>
    </w:r>
    <w:r>
      <w:rPr>
        <w:color w:val="000000"/>
      </w:rPr>
      <w:fldChar w:fldCharType="separate"/>
    </w:r>
    <w:r w:rsidR="0013237F">
      <w:rPr>
        <w:noProof/>
        <w:color w:val="000000"/>
      </w:rPr>
      <w:t>1</w:t>
    </w:r>
    <w:r>
      <w:rPr>
        <w:color w:val="000000"/>
      </w:rPr>
      <w:fldChar w:fldCharType="end"/>
    </w:r>
  </w:p>
  <w:p w:rsidR="00061A49" w:rsidRDefault="00061A49">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7F" w:rsidRDefault="0013237F" w:rsidP="00061A49">
      <w:r>
        <w:separator/>
      </w:r>
    </w:p>
  </w:footnote>
  <w:footnote w:type="continuationSeparator" w:id="0">
    <w:p w:rsidR="0013237F" w:rsidRDefault="0013237F" w:rsidP="00061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D37A24">
    <w:pPr>
      <w:pStyle w:val="Normal1"/>
      <w:pBdr>
        <w:top w:val="nil"/>
        <w:left w:val="nil"/>
        <w:bottom w:val="nil"/>
        <w:right w:val="nil"/>
        <w:between w:val="nil"/>
      </w:pBdr>
      <w:tabs>
        <w:tab w:val="center" w:pos="4252"/>
        <w:tab w:val="right" w:pos="8504"/>
      </w:tabs>
      <w:jc w:val="center"/>
      <w:rPr>
        <w:smallCaps/>
        <w:color w:val="000000"/>
        <w:sz w:val="32"/>
        <w:szCs w:val="32"/>
      </w:rPr>
    </w:pPr>
    <w:r>
      <w:rPr>
        <w:noProof/>
        <w:lang w:val="es-MX"/>
      </w:rPr>
      <w:drawing>
        <wp:anchor distT="0" distB="0" distL="114300" distR="114300" simplePos="0" relativeHeight="251659264" behindDoc="0" locked="0" layoutInCell="1" allowOverlap="1" wp14:anchorId="39F8EFE5" wp14:editId="1E1802D4">
          <wp:simplePos x="0" y="0"/>
          <wp:positionH relativeFrom="column">
            <wp:posOffset>-144780</wp:posOffset>
          </wp:positionH>
          <wp:positionV relativeFrom="paragraph">
            <wp:posOffset>-50165</wp:posOffset>
          </wp:positionV>
          <wp:extent cx="849630" cy="868680"/>
          <wp:effectExtent l="0" t="0" r="7620" b="7620"/>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r>
      <w:rPr>
        <w:noProof/>
        <w:lang w:val="es-MX"/>
      </w:rPr>
      <w:drawing>
        <wp:anchor distT="0" distB="0" distL="0" distR="0" simplePos="0" relativeHeight="251658240" behindDoc="1" locked="0" layoutInCell="1" allowOverlap="1" wp14:anchorId="2F276D83" wp14:editId="16A102E6">
          <wp:simplePos x="0" y="0"/>
          <wp:positionH relativeFrom="column">
            <wp:posOffset>5180330</wp:posOffset>
          </wp:positionH>
          <wp:positionV relativeFrom="paragraph">
            <wp:posOffset>-99695</wp:posOffset>
          </wp:positionV>
          <wp:extent cx="1087998" cy="1079771"/>
          <wp:effectExtent l="0" t="0" r="0" b="0"/>
          <wp:wrapNone/>
          <wp:docPr id="1" name="image1.png" descr="LXII.jpg"/>
          <wp:cNvGraphicFramePr/>
          <a:graphic xmlns:a="http://schemas.openxmlformats.org/drawingml/2006/main">
            <a:graphicData uri="http://schemas.openxmlformats.org/drawingml/2006/picture">
              <pic:pic xmlns:pic="http://schemas.openxmlformats.org/drawingml/2006/picture">
                <pic:nvPicPr>
                  <pic:cNvPr id="0" name="image1.png" descr="LXII.jpg"/>
                  <pic:cNvPicPr preferRelativeResize="0"/>
                </pic:nvPicPr>
                <pic:blipFill>
                  <a:blip r:embed="rId2"/>
                  <a:srcRect/>
                  <a:stretch>
                    <a:fillRect/>
                  </a:stretch>
                </pic:blipFill>
                <pic:spPr>
                  <a:xfrm>
                    <a:off x="0" y="0"/>
                    <a:ext cx="1087998" cy="1079771"/>
                  </a:xfrm>
                  <a:prstGeom prst="rect">
                    <a:avLst/>
                  </a:prstGeom>
                  <a:ln/>
                </pic:spPr>
              </pic:pic>
            </a:graphicData>
          </a:graphic>
        </wp:anchor>
      </w:drawing>
    </w:r>
    <w:r w:rsidR="00402A3C">
      <w:rPr>
        <w:smallCaps/>
        <w:color w:val="000000"/>
        <w:sz w:val="32"/>
        <w:szCs w:val="32"/>
      </w:rPr>
      <w:t xml:space="preserve">Estado Independiente, Libre y Soberano </w:t>
    </w:r>
  </w:p>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061A49" w:rsidRDefault="00061A49">
    <w:pPr>
      <w:pStyle w:val="Normal1"/>
      <w:pBdr>
        <w:top w:val="nil"/>
        <w:left w:val="nil"/>
        <w:bottom w:val="nil"/>
        <w:right w:val="nil"/>
        <w:between w:val="nil"/>
      </w:pBdr>
      <w:tabs>
        <w:tab w:val="center" w:pos="4252"/>
        <w:tab w:val="right" w:pos="8504"/>
      </w:tabs>
      <w:jc w:val="center"/>
      <w:rPr>
        <w:smallCaps/>
        <w:color w:val="000000"/>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061A49" w:rsidRDefault="00061A49">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9"/>
    <w:rsid w:val="00061A49"/>
    <w:rsid w:val="000C7B5E"/>
    <w:rsid w:val="0013237F"/>
    <w:rsid w:val="001B7F02"/>
    <w:rsid w:val="00222208"/>
    <w:rsid w:val="002E1183"/>
    <w:rsid w:val="0035147A"/>
    <w:rsid w:val="00402A3C"/>
    <w:rsid w:val="0043156B"/>
    <w:rsid w:val="00464613"/>
    <w:rsid w:val="00486A86"/>
    <w:rsid w:val="004A5003"/>
    <w:rsid w:val="004A7C2D"/>
    <w:rsid w:val="00582104"/>
    <w:rsid w:val="00597B19"/>
    <w:rsid w:val="005A7E60"/>
    <w:rsid w:val="00605D0E"/>
    <w:rsid w:val="00634A88"/>
    <w:rsid w:val="007A63C2"/>
    <w:rsid w:val="00800AAB"/>
    <w:rsid w:val="0088019E"/>
    <w:rsid w:val="009D3719"/>
    <w:rsid w:val="00A01186"/>
    <w:rsid w:val="00A13E60"/>
    <w:rsid w:val="00B04CF2"/>
    <w:rsid w:val="00B16E24"/>
    <w:rsid w:val="00BE1D5D"/>
    <w:rsid w:val="00C474FE"/>
    <w:rsid w:val="00C55164"/>
    <w:rsid w:val="00C633B9"/>
    <w:rsid w:val="00D07D71"/>
    <w:rsid w:val="00D37A24"/>
    <w:rsid w:val="00DE07ED"/>
    <w:rsid w:val="00E34533"/>
    <w:rsid w:val="00E53B72"/>
    <w:rsid w:val="00EE15A5"/>
    <w:rsid w:val="00F52766"/>
    <w:rsid w:val="00FB5428"/>
    <w:rsid w:val="00FD6DD5"/>
    <w:rsid w:val="00FE5F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334A"/>
  <w15:docId w15:val="{952A6D4D-2269-4383-98ED-00A2494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33"/>
  </w:style>
  <w:style w:type="paragraph" w:styleId="Ttulo1">
    <w:name w:val="heading 1"/>
    <w:basedOn w:val="Normal1"/>
    <w:next w:val="Normal1"/>
    <w:rsid w:val="00061A49"/>
    <w:pPr>
      <w:keepNext/>
      <w:keepLines/>
      <w:spacing w:before="480" w:after="120"/>
      <w:outlineLvl w:val="0"/>
    </w:pPr>
    <w:rPr>
      <w:b/>
      <w:sz w:val="48"/>
      <w:szCs w:val="48"/>
    </w:rPr>
  </w:style>
  <w:style w:type="paragraph" w:styleId="Ttulo2">
    <w:name w:val="heading 2"/>
    <w:basedOn w:val="Normal1"/>
    <w:next w:val="Normal1"/>
    <w:rsid w:val="00061A49"/>
    <w:pPr>
      <w:keepNext/>
      <w:keepLines/>
      <w:spacing w:before="360" w:after="80"/>
      <w:outlineLvl w:val="1"/>
    </w:pPr>
    <w:rPr>
      <w:b/>
      <w:sz w:val="36"/>
      <w:szCs w:val="36"/>
    </w:rPr>
  </w:style>
  <w:style w:type="paragraph" w:styleId="Ttulo3">
    <w:name w:val="heading 3"/>
    <w:basedOn w:val="Normal1"/>
    <w:next w:val="Normal1"/>
    <w:rsid w:val="00061A49"/>
    <w:pPr>
      <w:keepNext/>
      <w:keepLines/>
      <w:spacing w:before="280" w:after="80"/>
      <w:outlineLvl w:val="2"/>
    </w:pPr>
    <w:rPr>
      <w:b/>
      <w:sz w:val="28"/>
      <w:szCs w:val="28"/>
    </w:rPr>
  </w:style>
  <w:style w:type="paragraph" w:styleId="Ttulo4">
    <w:name w:val="heading 4"/>
    <w:basedOn w:val="Normal1"/>
    <w:next w:val="Normal1"/>
    <w:rsid w:val="00061A49"/>
    <w:pPr>
      <w:keepNext/>
      <w:keepLines/>
      <w:spacing w:before="240" w:after="40"/>
      <w:outlineLvl w:val="3"/>
    </w:pPr>
    <w:rPr>
      <w:b/>
    </w:rPr>
  </w:style>
  <w:style w:type="paragraph" w:styleId="Ttulo5">
    <w:name w:val="heading 5"/>
    <w:basedOn w:val="Normal1"/>
    <w:next w:val="Normal1"/>
    <w:rsid w:val="00061A49"/>
    <w:pPr>
      <w:keepNext/>
      <w:keepLines/>
      <w:spacing w:before="220" w:after="40"/>
      <w:outlineLvl w:val="4"/>
    </w:pPr>
    <w:rPr>
      <w:b/>
      <w:sz w:val="22"/>
      <w:szCs w:val="22"/>
    </w:rPr>
  </w:style>
  <w:style w:type="paragraph" w:styleId="Ttulo6">
    <w:name w:val="heading 6"/>
    <w:basedOn w:val="Normal1"/>
    <w:next w:val="Normal1"/>
    <w:rsid w:val="00061A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1A49"/>
  </w:style>
  <w:style w:type="table" w:customStyle="1" w:styleId="TableNormal">
    <w:name w:val="Table Normal"/>
    <w:rsid w:val="00061A49"/>
    <w:tblPr>
      <w:tblCellMar>
        <w:top w:w="0" w:type="dxa"/>
        <w:left w:w="0" w:type="dxa"/>
        <w:bottom w:w="0" w:type="dxa"/>
        <w:right w:w="0" w:type="dxa"/>
      </w:tblCellMar>
    </w:tblPr>
  </w:style>
  <w:style w:type="paragraph" w:styleId="Ttulo">
    <w:name w:val="Title"/>
    <w:basedOn w:val="Normal1"/>
    <w:next w:val="Normal1"/>
    <w:rsid w:val="00061A49"/>
    <w:pPr>
      <w:keepNext/>
      <w:keepLines/>
      <w:spacing w:before="480" w:after="120"/>
    </w:pPr>
    <w:rPr>
      <w:b/>
      <w:sz w:val="72"/>
      <w:szCs w:val="72"/>
    </w:rPr>
  </w:style>
  <w:style w:type="paragraph" w:styleId="Subttulo">
    <w:name w:val="Subtitle"/>
    <w:basedOn w:val="Normal1"/>
    <w:next w:val="Normal1"/>
    <w:rsid w:val="00061A4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35147A"/>
    <w:rPr>
      <w:color w:val="0000FF"/>
      <w:u w:val="single"/>
    </w:rPr>
  </w:style>
  <w:style w:type="paragraph" w:styleId="Textonotapie">
    <w:name w:val="footnote text"/>
    <w:basedOn w:val="Normal"/>
    <w:link w:val="TextonotapieCar"/>
    <w:uiPriority w:val="99"/>
    <w:semiHidden/>
    <w:unhideWhenUsed/>
    <w:rsid w:val="001B7F02"/>
    <w:rPr>
      <w:sz w:val="20"/>
      <w:szCs w:val="20"/>
    </w:rPr>
  </w:style>
  <w:style w:type="character" w:customStyle="1" w:styleId="TextonotapieCar">
    <w:name w:val="Texto nota pie Car"/>
    <w:basedOn w:val="Fuentedeprrafopredeter"/>
    <w:link w:val="Textonotapie"/>
    <w:uiPriority w:val="99"/>
    <w:semiHidden/>
    <w:rsid w:val="001B7F02"/>
    <w:rPr>
      <w:sz w:val="20"/>
      <w:szCs w:val="20"/>
    </w:rPr>
  </w:style>
  <w:style w:type="character" w:styleId="Refdenotaalpie">
    <w:name w:val="footnote reference"/>
    <w:basedOn w:val="Fuentedeprrafopredeter"/>
    <w:uiPriority w:val="99"/>
    <w:semiHidden/>
    <w:unhideWhenUsed/>
    <w:rsid w:val="001B7F02"/>
    <w:rPr>
      <w:vertAlign w:val="superscript"/>
    </w:rPr>
  </w:style>
  <w:style w:type="paragraph" w:styleId="NormalWeb">
    <w:name w:val="Normal (Web)"/>
    <w:basedOn w:val="Normal"/>
    <w:uiPriority w:val="99"/>
    <w:unhideWhenUsed/>
    <w:rsid w:val="000C7B5E"/>
    <w:pPr>
      <w:spacing w:before="100" w:beforeAutospacing="1" w:after="100" w:afterAutospacing="1"/>
    </w:pPr>
    <w:rPr>
      <w:rFonts w:ascii="Times New Roman" w:eastAsia="Times New Roman" w:hAnsi="Times New Roman" w:cs="Times New Roman"/>
      <w:lang w:val="es-MX"/>
    </w:rPr>
  </w:style>
  <w:style w:type="character" w:styleId="nfasis">
    <w:name w:val="Emphasis"/>
    <w:basedOn w:val="Fuentedeprrafopredeter"/>
    <w:uiPriority w:val="20"/>
    <w:qFormat/>
    <w:rsid w:val="000C7B5E"/>
    <w:rPr>
      <w:i/>
      <w:iCs/>
    </w:rPr>
  </w:style>
  <w:style w:type="paragraph" w:styleId="Encabezado">
    <w:name w:val="header"/>
    <w:basedOn w:val="Normal"/>
    <w:link w:val="EncabezadoCar"/>
    <w:uiPriority w:val="99"/>
    <w:unhideWhenUsed/>
    <w:rsid w:val="00D37A24"/>
    <w:pPr>
      <w:tabs>
        <w:tab w:val="center" w:pos="4419"/>
        <w:tab w:val="right" w:pos="8838"/>
      </w:tabs>
    </w:pPr>
  </w:style>
  <w:style w:type="character" w:customStyle="1" w:styleId="EncabezadoCar">
    <w:name w:val="Encabezado Car"/>
    <w:basedOn w:val="Fuentedeprrafopredeter"/>
    <w:link w:val="Encabezado"/>
    <w:uiPriority w:val="99"/>
    <w:rsid w:val="00D37A24"/>
  </w:style>
  <w:style w:type="paragraph" w:styleId="Piedepgina">
    <w:name w:val="footer"/>
    <w:basedOn w:val="Normal"/>
    <w:link w:val="PiedepginaCar"/>
    <w:uiPriority w:val="99"/>
    <w:unhideWhenUsed/>
    <w:rsid w:val="00D37A24"/>
    <w:pPr>
      <w:tabs>
        <w:tab w:val="center" w:pos="4419"/>
        <w:tab w:val="right" w:pos="8838"/>
      </w:tabs>
    </w:pPr>
  </w:style>
  <w:style w:type="character" w:customStyle="1" w:styleId="PiedepginaCar">
    <w:name w:val="Pie de página Car"/>
    <w:basedOn w:val="Fuentedeprrafopredeter"/>
    <w:link w:val="Piedepgina"/>
    <w:uiPriority w:val="99"/>
    <w:rsid w:val="00D3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2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17CB-0504-4B6B-AFD4-7AB57C31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2</cp:revision>
  <dcterms:created xsi:type="dcterms:W3CDTF">2022-04-27T18:00:00Z</dcterms:created>
  <dcterms:modified xsi:type="dcterms:W3CDTF">2022-04-27T18:00:00Z</dcterms:modified>
</cp:coreProperties>
</file>