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7" w:rsidRDefault="00954567" w:rsidP="00954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bookmarkStart w:id="0" w:name="_GoBack"/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Iniciativa con Proyecto de Decreto, por el que se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adiciona</w:t>
      </w: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la fracción XIII recorriéndose la ulterior del artículo 8, se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adiciona</w:t>
      </w: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la fracción VI al artículo 9 y se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adiciona</w:t>
      </w: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un artículo 28 ter a la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 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Ley de Acceso de las Mujeres a una Vida Libre de Violencia para el Estado de Coahuila de Zaragoza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.</w:t>
      </w:r>
    </w:p>
    <w:p w:rsid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54567" w:rsidRPr="00954567" w:rsidRDefault="00954567" w:rsidP="009545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on el fin de armonizarla con la ley general vigente en México. </w:t>
      </w:r>
    </w:p>
    <w:p w:rsidR="00954567" w:rsidRPr="00954567" w:rsidRDefault="00954567" w:rsidP="00954567">
      <w:pPr>
        <w:jc w:val="both"/>
        <w:rPr>
          <w:rFonts w:ascii="Arial" w:eastAsia="Arial" w:hAnsi="Arial" w:cs="Arial"/>
          <w:b/>
          <w:lang w:val="es-MX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bookmarkStart w:id="1" w:name="_gjdgxs" w:colFirst="0" w:colLast="0"/>
      <w:bookmarkEnd w:id="1"/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Planteada por la 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Diputada Teresa de Jesús Meraz García, </w:t>
      </w: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del Grupo Parlamentario, "Movimiento Regeneración Nacional” del Partido Morena.</w:t>
      </w: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28 de Junio de 2022.</w:t>
      </w:r>
    </w:p>
    <w:p w:rsidR="00954567" w:rsidRPr="00954567" w:rsidRDefault="00954567" w:rsidP="00954567">
      <w:pPr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Comisión de Igualdad y No Discriminación.</w:t>
      </w:r>
    </w:p>
    <w:bookmarkEnd w:id="0"/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Fecha de lectura del Dictamen: </w:t>
      </w: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954567" w:rsidRPr="00954567" w:rsidRDefault="00954567" w:rsidP="00954567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:rsidR="00954567" w:rsidRPr="00954567" w:rsidRDefault="00954567" w:rsidP="00954567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  <w:r w:rsidRPr="00954567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:rsidR="00954567" w:rsidRPr="00954567" w:rsidRDefault="00954567" w:rsidP="00954567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:rsidR="00954567" w:rsidRDefault="00954567" w:rsidP="00954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54567" w:rsidRDefault="00954567" w:rsidP="00954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54567" w:rsidRDefault="00954567" w:rsidP="009545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54567" w:rsidRDefault="00954567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:rsidR="00B5511F" w:rsidRDefault="00F2017E" w:rsidP="00627F9C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Iniciativa con proyecto de decreto que presenta la Diputada Teresa de Jesús Meraz García, conjuntamente con las Diputadas y el Diputado integrantes del Grupo Parlamentario del movimiento de regeneración nacional, del partido morena, por el que se reforma </w:t>
      </w:r>
      <w:r w:rsidR="00627F9C" w:rsidRPr="00627F9C">
        <w:rPr>
          <w:rFonts w:ascii="Arial" w:eastAsia="Arial" w:hAnsi="Arial" w:cs="Arial"/>
          <w:b/>
          <w:color w:val="000000"/>
          <w:sz w:val="28"/>
          <w:szCs w:val="28"/>
        </w:rPr>
        <w:t>LEY DE ACCESO DE LAS MUJERES A UNA VIDA LIBRE DE VIOLENCIA PARA EL ESTADO DE COAHUILA DE ZARAGOZA,</w:t>
      </w:r>
      <w:r w:rsidR="00627F9C">
        <w:rPr>
          <w:rFonts w:ascii="Arial" w:eastAsia="Arial" w:hAnsi="Arial" w:cs="Arial"/>
          <w:b/>
          <w:color w:val="000000"/>
          <w:sz w:val="28"/>
          <w:szCs w:val="28"/>
        </w:rPr>
        <w:t xml:space="preserve"> CON EL FIN DE ARMONIZARLA CON LA LEY GENERAL VIGENTE EN MEXICO.</w:t>
      </w:r>
      <w:r w:rsidR="00627F9C">
        <w:t xml:space="preserve"> 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H. PLENO DEL CONGRESO DEL ESTADO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DE COAHUILA DE ZARAGOZA</w:t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PRESENTE.-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La suscrita Diputada Teresa de Jesús Meraz García, conjuntamente con las Diputadas y el Diputado del Grupo Parlamentario movimiento de regeneración nacional del partido morena, de la LXII Legislatura del Honorable Congreso del Estado Independiente, Libre y Soberano de Coahuila de Zaragoza, con fundamento en el artículo 59 fracción I y 60 de la Constitución Política del Estado de Coahuila de Zaragoza, además de los artículos 21 fracción IV, 152 fracción I, I63, 167 y demás relativos de la Ley Orgánica del Congreso del Estado Independiente, Libre y Soberano de Coahuila de Zaragoza, ponemos a consideración de ustedes, compañeras y compañeros legisladores, la presente iniciativa con proyecto de decreto, por la que se reforma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Ley para Promover la Igualdad y Prevenir la Discriminación en el Estado de Coahuila de Zaragoza, con el fin de actualizar el concepto de discriminación, a razón de la siguiente: 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Exposición de Motivos</w:t>
      </w:r>
    </w:p>
    <w:p w:rsidR="00B5511F" w:rsidRDefault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Mucho hemos hablado de Violencia hacia las Mujeres, hemos dado grandes avances y hemos sido más consientes en proporcionarles los medios jurídicos par</w:t>
      </w:r>
      <w:r w:rsidR="008E6D18"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que esta violencia no llegue a finales fatales.</w:t>
      </w:r>
    </w:p>
    <w:p w:rsidR="005F5C45" w:rsidRDefault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F5C45" w:rsidRDefault="005F5C4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Pero en este camino creo que la violencia de la cual hoy trata nuestra iniciativa es la una de las más peligrosas, porque es silenciosa y va directamente al menosprecio y destrucción de la voluntad de las mujeres.</w:t>
      </w:r>
    </w:p>
    <w:p w:rsidR="005F5C45" w:rsidRDefault="005F5C4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F5C45" w:rsidRDefault="00737978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 veces</w:t>
      </w:r>
      <w:r w:rsidR="005F5C45">
        <w:rPr>
          <w:rFonts w:ascii="Arial" w:eastAsia="Arial" w:hAnsi="Arial" w:cs="Arial"/>
          <w:color w:val="000000"/>
          <w:sz w:val="28"/>
          <w:szCs w:val="28"/>
        </w:rPr>
        <w:t xml:space="preserve"> no entendemos como una mujer después de ser golpeada o maltratada vuelva y page la fianza del marido o concubino y lo saque de la cárcel, se nos hace absurdo, ilógico, hasta que leí de la Violencia Simbólica.</w:t>
      </w:r>
    </w:p>
    <w:p w:rsidR="005F5C45" w:rsidRPr="005F5C45" w:rsidRDefault="005F5C45" w:rsidP="005F5C45">
      <w:pPr>
        <w:pStyle w:val="Ttulo2"/>
        <w:shd w:val="clear" w:color="auto" w:fill="FFFFFF"/>
        <w:spacing w:before="199" w:after="390" w:line="571" w:lineRule="atLeast"/>
        <w:jc w:val="both"/>
        <w:rPr>
          <w:rFonts w:ascii="Arial" w:eastAsia="Arial" w:hAnsi="Arial" w:cs="Arial"/>
          <w:b w:val="0"/>
          <w:sz w:val="28"/>
          <w:szCs w:val="28"/>
        </w:rPr>
      </w:pPr>
      <w:r w:rsidRPr="005F5C45">
        <w:rPr>
          <w:rFonts w:ascii="Arial" w:eastAsia="Arial" w:hAnsi="Arial" w:cs="Arial"/>
          <w:b w:val="0"/>
          <w:sz w:val="28"/>
          <w:szCs w:val="28"/>
        </w:rPr>
        <w:t xml:space="preserve">Para entrar en el tema mencionare </w:t>
      </w:r>
      <w:r w:rsidR="00737978">
        <w:rPr>
          <w:rFonts w:ascii="Arial" w:eastAsia="Arial" w:hAnsi="Arial" w:cs="Arial"/>
          <w:b w:val="0"/>
          <w:sz w:val="28"/>
          <w:szCs w:val="28"/>
        </w:rPr>
        <w:t xml:space="preserve">al </w:t>
      </w:r>
      <w:r w:rsidRPr="005F5C45">
        <w:rPr>
          <w:rFonts w:ascii="Arial" w:eastAsia="Arial" w:hAnsi="Arial" w:cs="Arial"/>
          <w:b w:val="0"/>
          <w:sz w:val="28"/>
          <w:szCs w:val="28"/>
        </w:rPr>
        <w:t xml:space="preserve">sociólogo francés Pierre Bourdieu </w:t>
      </w:r>
      <w:r w:rsidR="00737978">
        <w:rPr>
          <w:rFonts w:ascii="Arial" w:eastAsia="Arial" w:hAnsi="Arial" w:cs="Arial"/>
          <w:b w:val="0"/>
          <w:sz w:val="28"/>
          <w:szCs w:val="28"/>
        </w:rPr>
        <w:t xml:space="preserve">quien </w:t>
      </w:r>
      <w:r w:rsidRPr="005F5C45">
        <w:rPr>
          <w:rFonts w:ascii="Arial" w:eastAsia="Arial" w:hAnsi="Arial" w:cs="Arial"/>
          <w:b w:val="0"/>
          <w:sz w:val="28"/>
          <w:szCs w:val="28"/>
        </w:rPr>
        <w:t>establece en la década de los setenta, el término violencia simbólica, describiéndola como aquella violencia que no utiliza la fuerza física, sino la imposición del poder y la autoridad.</w:t>
      </w:r>
    </w:p>
    <w:p w:rsidR="00EE6025" w:rsidRDefault="005F5C45" w:rsidP="00EE6025">
      <w:pPr>
        <w:pStyle w:val="NormalWeb"/>
        <w:shd w:val="clear" w:color="auto" w:fill="FFFFFF"/>
        <w:spacing w:before="240" w:beforeAutospacing="0" w:after="390" w:afterAutospacing="0" w:line="360" w:lineRule="auto"/>
        <w:jc w:val="both"/>
        <w:rPr>
          <w:rFonts w:ascii="Arial" w:eastAsia="Arial" w:hAnsi="Arial" w:cs="Arial"/>
          <w:color w:val="000000"/>
          <w:sz w:val="28"/>
          <w:szCs w:val="28"/>
          <w:lang w:val="es-ES"/>
        </w:rPr>
      </w:pPr>
      <w:r w:rsidRPr="005F5C45">
        <w:rPr>
          <w:rFonts w:ascii="Arial" w:eastAsia="Arial" w:hAnsi="Arial" w:cs="Arial"/>
          <w:color w:val="000000"/>
          <w:sz w:val="28"/>
          <w:szCs w:val="28"/>
          <w:lang w:val="es-ES"/>
        </w:rPr>
        <w:t>Sus manifestaciones son tan sutiles e imperceptibles que, es permitida y aceptada por el dominador y el dominado.</w:t>
      </w:r>
    </w:p>
    <w:p w:rsidR="005F5C45" w:rsidRDefault="005F5C45" w:rsidP="00EE6025">
      <w:pPr>
        <w:pStyle w:val="NormalWeb"/>
        <w:shd w:val="clear" w:color="auto" w:fill="FFFFFF"/>
        <w:spacing w:before="240" w:beforeAutospacing="0" w:after="390" w:afterAutospacing="0" w:line="360" w:lineRule="auto"/>
        <w:jc w:val="both"/>
        <w:rPr>
          <w:rFonts w:ascii="Arial" w:eastAsia="Arial" w:hAnsi="Arial" w:cs="Arial"/>
          <w:color w:val="000000"/>
          <w:sz w:val="28"/>
          <w:szCs w:val="28"/>
          <w:lang w:val="es-ES"/>
        </w:rPr>
      </w:pPr>
      <w:r w:rsidRPr="005F5C45">
        <w:rPr>
          <w:rFonts w:ascii="Arial" w:eastAsia="Arial" w:hAnsi="Arial" w:cs="Arial"/>
          <w:color w:val="000000"/>
          <w:sz w:val="28"/>
          <w:szCs w:val="28"/>
          <w:lang w:val="es-ES"/>
        </w:rPr>
        <w:t>La violencia simbólica es la base de todos los tipos de violencia; a través de las costumbres, tradiciones y prácticas cotidianas se refuerzan y reproducen las relaciones basadas en el dominio y la sumisión.</w:t>
      </w:r>
    </w:p>
    <w:p w:rsidR="005F5C45" w:rsidRPr="005F5C45" w:rsidRDefault="005F5C45" w:rsidP="005F5C45">
      <w:pPr>
        <w:pStyle w:val="NormalWeb"/>
        <w:shd w:val="clear" w:color="auto" w:fill="FFFFFF"/>
        <w:spacing w:before="240" w:beforeAutospacing="0" w:after="390" w:afterAutospacing="0" w:line="465" w:lineRule="atLeast"/>
        <w:jc w:val="both"/>
        <w:rPr>
          <w:rFonts w:ascii="Arial" w:eastAsia="Arial" w:hAnsi="Arial" w:cs="Arial"/>
          <w:color w:val="000000"/>
          <w:sz w:val="28"/>
          <w:szCs w:val="28"/>
          <w:lang w:val="es-ES"/>
        </w:rPr>
      </w:pPr>
      <w:r w:rsidRPr="005F5C45">
        <w:rPr>
          <w:rFonts w:ascii="Arial" w:eastAsia="Arial" w:hAnsi="Arial" w:cs="Arial"/>
          <w:color w:val="000000"/>
          <w:sz w:val="28"/>
          <w:szCs w:val="28"/>
          <w:lang w:val="es-ES"/>
        </w:rPr>
        <w:t>La violencia simbólica se caracteriza por ser una violencia invisible, soterrada, subyacente, implícita o subterránea, y con frecuencia este tipo de violencia es utilizada como una herramienta y ejercer la violencia política, y peor aún sus símbolos son subliminales y contribuyen y estimulan la discriminación femenina</w:t>
      </w:r>
    </w:p>
    <w:p w:rsidR="00EE6025" w:rsidRDefault="00737978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Por su parte la </w:t>
      </w:r>
      <w:r w:rsidR="005F5C45" w:rsidRPr="00EE6025">
        <w:rPr>
          <w:rFonts w:ascii="Arial" w:eastAsia="Arial" w:hAnsi="Arial" w:cs="Arial"/>
          <w:color w:val="000000"/>
          <w:sz w:val="28"/>
          <w:szCs w:val="28"/>
        </w:rPr>
        <w:t>Dra. Liliana Urrutia Profesora de la F</w:t>
      </w:r>
      <w:r>
        <w:rPr>
          <w:rFonts w:ascii="Arial" w:eastAsia="Arial" w:hAnsi="Arial" w:cs="Arial"/>
          <w:color w:val="000000"/>
          <w:sz w:val="28"/>
          <w:szCs w:val="28"/>
        </w:rPr>
        <w:t>acultad de Derecho de Rosario</w:t>
      </w:r>
      <w:r w:rsidR="005F5C45" w:rsidRPr="00EE6025">
        <w:rPr>
          <w:rFonts w:ascii="Arial" w:eastAsia="Arial" w:hAnsi="Arial" w:cs="Arial"/>
          <w:color w:val="000000"/>
          <w:sz w:val="28"/>
          <w:szCs w:val="28"/>
        </w:rPr>
        <w:t xml:space="preserve"> Argentina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 w:rsidR="005F5C45" w:rsidRPr="00EE6025">
        <w:rPr>
          <w:rFonts w:ascii="Arial" w:eastAsia="Arial" w:hAnsi="Arial" w:cs="Arial"/>
          <w:color w:val="000000"/>
          <w:sz w:val="28"/>
          <w:szCs w:val="28"/>
        </w:rPr>
        <w:t xml:space="preserve"> definió a la violencia mediática, como aquella que es producida por los medios masivos de comunicación a través de publicaciones, difusión de mensajes e imágenes estereotipados, que promueven la explotación de mujeres o sus imágenes, o que injurie, difame, discrimine, deshonre, humille o atente contra la dignidad de las mismas y se refirió a la violencia masculina contra las mujeres en los noticieros, en los shows televisivos, en las películas, en las publicidades, en los hogares y lugares de trabajo afirmando que es un hecho cotidiano para féminas de todas las edades, razas y clases. </w:t>
      </w:r>
    </w:p>
    <w:p w:rsidR="00EE6025" w:rsidRDefault="00EE602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F5C45" w:rsidRDefault="005F5C4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E6025">
        <w:rPr>
          <w:rFonts w:ascii="Arial" w:eastAsia="Arial" w:hAnsi="Arial" w:cs="Arial"/>
          <w:color w:val="000000"/>
          <w:sz w:val="28"/>
          <w:szCs w:val="28"/>
        </w:rPr>
        <w:t>Asimismo, señalo que se entiende que existe violencia mediática cuando los mensajes o imágenes tienden a legitimar la desigualdad de trato como así también a construir o mantener patrones socioculturales de desigualdad o generadores de violencia contra la mujer.</w:t>
      </w:r>
    </w:p>
    <w:p w:rsidR="00EE6025" w:rsidRDefault="00EE602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</w:t>
      </w:r>
      <w:r w:rsidRPr="00EE6025">
        <w:rPr>
          <w:rFonts w:ascii="Arial" w:eastAsia="Arial" w:hAnsi="Arial" w:cs="Arial"/>
          <w:color w:val="000000"/>
          <w:sz w:val="28"/>
          <w:szCs w:val="28"/>
        </w:rPr>
        <w:t xml:space="preserve">uchos estudios académicos y de organizaciones a favor de los derechos humanos reconocen la existencia de la violencia simbólica, al promover la construcción de estereotipos, mediante el uso de imágenes, mensajes, valores, íconos o signos, que vienen a transmitir y reproducir condiciones de desigualdad sustantiva, discriminación y denigración contra las mujeres. </w:t>
      </w: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E6025">
        <w:rPr>
          <w:rFonts w:ascii="Arial" w:eastAsia="Arial" w:hAnsi="Arial" w:cs="Arial"/>
          <w:color w:val="000000"/>
          <w:sz w:val="28"/>
          <w:szCs w:val="28"/>
        </w:rPr>
        <w:t>Cada vez es más evidente la violencia simbólica c</w:t>
      </w:r>
      <w:r w:rsidR="00737978">
        <w:rPr>
          <w:rFonts w:ascii="Arial" w:eastAsia="Arial" w:hAnsi="Arial" w:cs="Arial"/>
          <w:color w:val="000000"/>
          <w:sz w:val="28"/>
          <w:szCs w:val="28"/>
        </w:rPr>
        <w:t>ontra las mujeres, cuando se les</w:t>
      </w:r>
      <w:r w:rsidRPr="00EE6025">
        <w:rPr>
          <w:rFonts w:ascii="Arial" w:eastAsia="Arial" w:hAnsi="Arial" w:cs="Arial"/>
          <w:color w:val="000000"/>
          <w:sz w:val="28"/>
          <w:szCs w:val="28"/>
        </w:rPr>
        <w:t xml:space="preserve"> representan con estereotipos mediáticos y sociales altamente sexualizados, que sin lugar a dudas han encontrado eco en las redes sociales digitales, las cuales han abierto nuevas oportunidades para este tipo de ataques. </w:t>
      </w: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EE6025">
        <w:rPr>
          <w:rFonts w:ascii="Arial" w:eastAsia="Arial" w:hAnsi="Arial" w:cs="Arial"/>
          <w:color w:val="000000"/>
          <w:sz w:val="28"/>
          <w:szCs w:val="28"/>
        </w:rPr>
        <w:t>Debo mencionar tristemente que muchas veces tenemos que esta violencia simbólica ocurre y se reproduce o se manifiesta a través de los medios de comunicación masivos, que, en este caso en particular, hablamos de la presencia de una violencia mediática contra la mujer, como cuando usan o se hacen publicaciones que difunden mensajes e imágenes estereotipados de mujeres que de manera directa o indirecta promueven herir, humillar, intimidar, explotar, subordinar o manipular su dignidad humana.</w:t>
      </w:r>
    </w:p>
    <w:p w:rsidR="00EE6025" w:rsidRDefault="00EE6025" w:rsidP="00EE60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37978" w:rsidRDefault="00737978" w:rsidP="0073797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737978">
        <w:rPr>
          <w:rFonts w:ascii="Arial" w:eastAsia="Arial" w:hAnsi="Arial" w:cs="Arial"/>
          <w:sz w:val="28"/>
          <w:szCs w:val="28"/>
        </w:rPr>
        <w:t>En virtud de lo anteriormente expuesto, el Grupo Parlamentario del movimiento de regeneración nacional, del Partido morena, ponemos a la consideración de este H. Pleno del Congreso, el siguiente proyecto d</w:t>
      </w:r>
      <w:r w:rsidR="00A55342">
        <w:rPr>
          <w:rFonts w:ascii="Arial" w:eastAsia="Arial" w:hAnsi="Arial" w:cs="Arial"/>
          <w:sz w:val="28"/>
          <w:szCs w:val="28"/>
        </w:rPr>
        <w:t>e decreto por el que se</w:t>
      </w:r>
      <w:r w:rsidRPr="00737978">
        <w:rPr>
          <w:rFonts w:ascii="Arial" w:eastAsia="Arial" w:hAnsi="Arial" w:cs="Arial"/>
          <w:sz w:val="28"/>
          <w:szCs w:val="28"/>
        </w:rPr>
        <w:t xml:space="preserve"> </w:t>
      </w:r>
      <w:r w:rsidR="00A55342">
        <w:rPr>
          <w:rFonts w:ascii="Arial" w:eastAsia="Arial" w:hAnsi="Arial" w:cs="Arial"/>
          <w:sz w:val="28"/>
          <w:szCs w:val="28"/>
        </w:rPr>
        <w:t>agrega la fracci</w:t>
      </w:r>
      <w:r w:rsidR="00D91094">
        <w:rPr>
          <w:rFonts w:ascii="Arial" w:eastAsia="Arial" w:hAnsi="Arial" w:cs="Arial"/>
          <w:sz w:val="28"/>
          <w:szCs w:val="28"/>
        </w:rPr>
        <w:t xml:space="preserve">ón XIII recorriéndose la ulterior </w:t>
      </w:r>
      <w:r w:rsidR="00A55342">
        <w:rPr>
          <w:rFonts w:ascii="Arial" w:eastAsia="Arial" w:hAnsi="Arial" w:cs="Arial"/>
          <w:sz w:val="28"/>
          <w:szCs w:val="28"/>
        </w:rPr>
        <w:t xml:space="preserve">del </w:t>
      </w:r>
      <w:r>
        <w:rPr>
          <w:rFonts w:ascii="Arial" w:eastAsia="Arial" w:hAnsi="Arial" w:cs="Arial"/>
          <w:sz w:val="28"/>
          <w:szCs w:val="28"/>
        </w:rPr>
        <w:t xml:space="preserve">artículo 8, </w:t>
      </w:r>
      <w:r w:rsidR="00A55342">
        <w:rPr>
          <w:rFonts w:ascii="Arial" w:eastAsia="Arial" w:hAnsi="Arial" w:cs="Arial"/>
          <w:sz w:val="28"/>
          <w:szCs w:val="28"/>
        </w:rPr>
        <w:t>se agrega la fracción V</w:t>
      </w:r>
      <w:r w:rsidR="00D91094">
        <w:rPr>
          <w:rFonts w:ascii="Arial" w:eastAsia="Arial" w:hAnsi="Arial" w:cs="Arial"/>
          <w:sz w:val="28"/>
          <w:szCs w:val="28"/>
        </w:rPr>
        <w:t>I</w:t>
      </w:r>
      <w:r w:rsidR="00A55342">
        <w:rPr>
          <w:rFonts w:ascii="Arial" w:eastAsia="Arial" w:hAnsi="Arial" w:cs="Arial"/>
          <w:sz w:val="28"/>
          <w:szCs w:val="28"/>
        </w:rPr>
        <w:t xml:space="preserve"> al artículo 9 y se agrega un artículo 28 ter a la Ley de Acceso de las Mujeres a una Vida Libre de Violencia para el Estado de Coahuila de Zaragoza, para quedar como siguen:</w:t>
      </w:r>
    </w:p>
    <w:p w:rsidR="00A55342" w:rsidRDefault="00A55342" w:rsidP="0073797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A55342" w:rsidRDefault="00A55342" w:rsidP="00737978">
      <w:pPr>
        <w:pStyle w:val="Normal1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A55342" w:rsidRDefault="00A55342" w:rsidP="00737978">
      <w:pPr>
        <w:pStyle w:val="Normal1"/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0"/>
        <w:gridCol w:w="4774"/>
      </w:tblGrid>
      <w:tr w:rsidR="00A66066" w:rsidTr="00A66066">
        <w:tc>
          <w:tcPr>
            <w:tcW w:w="5035" w:type="dxa"/>
          </w:tcPr>
          <w:p w:rsidR="00A66066" w:rsidRDefault="00A66066" w:rsidP="005F5C4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ACTUAL</w:t>
            </w:r>
          </w:p>
        </w:tc>
        <w:tc>
          <w:tcPr>
            <w:tcW w:w="5035" w:type="dxa"/>
          </w:tcPr>
          <w:p w:rsidR="00A66066" w:rsidRDefault="00A66066" w:rsidP="005F5C45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NUEVA</w:t>
            </w:r>
          </w:p>
        </w:tc>
      </w:tr>
      <w:tr w:rsidR="00A66066" w:rsidTr="00A66066">
        <w:tc>
          <w:tcPr>
            <w:tcW w:w="5035" w:type="dxa"/>
          </w:tcPr>
          <w:p w:rsidR="00A66066" w:rsidRDefault="00A66066" w:rsidP="00A66066">
            <w:pPr>
              <w:spacing w:line="360" w:lineRule="auto"/>
              <w:jc w:val="both"/>
            </w:pPr>
            <w:r>
              <w:t>Artículo 8. Los tipos de violencia contra las mujeres son:</w:t>
            </w:r>
          </w:p>
          <w:p w:rsidR="00A66066" w:rsidRDefault="00D91094" w:rsidP="00A66066">
            <w:pPr>
              <w:spacing w:line="360" w:lineRule="auto"/>
              <w:jc w:val="both"/>
            </w:pPr>
            <w:r>
              <w:t>I al XIII</w:t>
            </w:r>
          </w:p>
          <w:p w:rsidR="00D91094" w:rsidRPr="00A66066" w:rsidRDefault="00D91094" w:rsidP="00A66066">
            <w:pPr>
              <w:spacing w:line="360" w:lineRule="auto"/>
              <w:jc w:val="both"/>
            </w:pPr>
          </w:p>
        </w:tc>
        <w:tc>
          <w:tcPr>
            <w:tcW w:w="5035" w:type="dxa"/>
          </w:tcPr>
          <w:p w:rsidR="00E148B3" w:rsidRDefault="00E148B3" w:rsidP="00A66066">
            <w:pPr>
              <w:spacing w:line="360" w:lineRule="auto"/>
              <w:jc w:val="both"/>
            </w:pPr>
            <w:r>
              <w:t>Artículo 8</w:t>
            </w:r>
            <w:r w:rsidR="00A66066">
              <w:t xml:space="preserve">. </w:t>
            </w:r>
            <w:r>
              <w:t>Los tipos de violencia contra las mujeres son:</w:t>
            </w:r>
          </w:p>
          <w:p w:rsidR="00A66066" w:rsidRDefault="00A66066" w:rsidP="00A66066">
            <w:pPr>
              <w:spacing w:line="360" w:lineRule="auto"/>
              <w:jc w:val="both"/>
            </w:pPr>
            <w:r>
              <w:t xml:space="preserve">I </w:t>
            </w:r>
            <w:r w:rsidR="00D91094">
              <w:t>a la XII</w:t>
            </w:r>
          </w:p>
          <w:p w:rsidR="00A66066" w:rsidRDefault="00D91094" w:rsidP="00E148B3">
            <w:pPr>
              <w:spacing w:line="360" w:lineRule="auto"/>
              <w:jc w:val="both"/>
            </w:pPr>
            <w:r>
              <w:t>XIII</w:t>
            </w:r>
            <w:r w:rsidR="00A66066">
              <w:t xml:space="preserve">. </w:t>
            </w:r>
            <w:r w:rsidR="00E148B3">
              <w:t>Violencia Simbólica: Todo acto que a través de patrones estereotipados, mensajes, valores, íconos o signos, transmita y reproduzca dominación, desigualdad y discriminación en las relaciones sociales y culturales, naturalizando la subordinación de la mujer en la sociedad.</w:t>
            </w:r>
          </w:p>
          <w:p w:rsidR="00D91094" w:rsidRPr="00D91094" w:rsidRDefault="00D91094" w:rsidP="00D91094">
            <w:pPr>
              <w:pStyle w:val="Textosinformato"/>
              <w:ind w:left="454" w:hanging="454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XIV.</w:t>
            </w:r>
            <w:r w:rsidRPr="00D91094">
              <w:rPr>
                <w:rFonts w:asciiTheme="majorHAnsi" w:hAnsiTheme="majorHAnsi" w:cstheme="majorHAnsi"/>
                <w:sz w:val="24"/>
                <w:szCs w:val="24"/>
              </w:rPr>
              <w:t>Cualesquiera otras formas análogas que lesionen o sean susceptibles de dañar la dignidad, integridad o libertad de las mujeres.</w:t>
            </w:r>
          </w:p>
          <w:p w:rsidR="00D91094" w:rsidRPr="00D91094" w:rsidRDefault="00D91094" w:rsidP="00D91094">
            <w:pPr>
              <w:pStyle w:val="Textosinforma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D91094" w:rsidRPr="00D91094" w:rsidRDefault="00D91094" w:rsidP="00D91094">
            <w:pPr>
              <w:pStyle w:val="Textosinformato"/>
              <w:rPr>
                <w:rFonts w:asciiTheme="majorHAnsi" w:hAnsiTheme="majorHAnsi" w:cstheme="majorHAnsi"/>
                <w:sz w:val="24"/>
                <w:szCs w:val="24"/>
              </w:rPr>
            </w:pPr>
            <w:r w:rsidRPr="00D91094">
              <w:rPr>
                <w:rFonts w:asciiTheme="majorHAnsi" w:hAnsiTheme="majorHAnsi" w:cstheme="majorHAnsi"/>
                <w:sz w:val="24"/>
                <w:szCs w:val="24"/>
              </w:rPr>
              <w:t xml:space="preserve">Las políticas de prevención, atención, investigación, sanción y reparación integral del daño derivado de los tipos de violencia del presente Capítulo, atenderán y garantizarán en todo momento el cumplimiento de los principios del interés superior de la niñez y la autonomía progresiva en el ejercicio de los derechos de las niñas. </w:t>
            </w:r>
          </w:p>
          <w:p w:rsidR="00D91094" w:rsidRDefault="00D91094" w:rsidP="00E148B3">
            <w:pPr>
              <w:spacing w:line="360" w:lineRule="auto"/>
              <w:jc w:val="both"/>
            </w:pPr>
          </w:p>
          <w:p w:rsidR="00D91094" w:rsidRDefault="00D91094" w:rsidP="00E148B3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A66066" w:rsidTr="00A66066">
        <w:tc>
          <w:tcPr>
            <w:tcW w:w="5035" w:type="dxa"/>
          </w:tcPr>
          <w:p w:rsidR="00A66066" w:rsidRDefault="00A66066" w:rsidP="00A66066">
            <w:pPr>
              <w:spacing w:line="360" w:lineRule="auto"/>
              <w:jc w:val="both"/>
            </w:pPr>
            <w:r>
              <w:t>Artículo 9. Las modalidades de la violencia contra las mujeres son:</w:t>
            </w:r>
          </w:p>
          <w:p w:rsidR="00A66066" w:rsidRDefault="00A66066" w:rsidP="00A66066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t>I al V</w:t>
            </w:r>
            <w:r w:rsidR="00D91094">
              <w:t>…..</w:t>
            </w:r>
          </w:p>
        </w:tc>
        <w:tc>
          <w:tcPr>
            <w:tcW w:w="5035" w:type="dxa"/>
          </w:tcPr>
          <w:p w:rsidR="00A66066" w:rsidRDefault="00A66066" w:rsidP="00A66066">
            <w:pPr>
              <w:spacing w:line="360" w:lineRule="auto"/>
              <w:jc w:val="both"/>
            </w:pPr>
            <w:r>
              <w:t>Artículo 9. Las modalidades de la violencia contra las mujeres son:</w:t>
            </w:r>
          </w:p>
          <w:p w:rsidR="00E148B3" w:rsidRDefault="00D91094" w:rsidP="00E148B3">
            <w:pPr>
              <w:spacing w:line="360" w:lineRule="auto"/>
              <w:jc w:val="both"/>
            </w:pPr>
            <w:r>
              <w:t>I a la V….</w:t>
            </w:r>
          </w:p>
          <w:p w:rsidR="00A66066" w:rsidRDefault="00E148B3" w:rsidP="00E148B3">
            <w:pPr>
              <w:spacing w:line="360" w:lineRule="auto"/>
              <w:jc w:val="both"/>
            </w:pPr>
            <w:r>
              <w:t>V</w:t>
            </w:r>
            <w:r w:rsidR="00D91094">
              <w:t>I</w:t>
            </w:r>
            <w:r>
              <w:t>. Violencia en la comunidad: Son los actos individuales o colectivos que transgreden o menoscaban los derechos fundamentales de las mujeres, sobre todo aquellas de origen indígena o afromexicano; propiciando su denigración, discriminación, marginación o exclusión en cualquier ámbito.</w:t>
            </w:r>
            <w:r w:rsidR="00A66066">
              <w:t xml:space="preserve"> </w:t>
            </w:r>
          </w:p>
          <w:p w:rsidR="00E148B3" w:rsidRPr="00E148B3" w:rsidRDefault="00E148B3" w:rsidP="00E148B3">
            <w:pPr>
              <w:spacing w:line="360" w:lineRule="auto"/>
              <w:jc w:val="both"/>
            </w:pPr>
            <w:r>
              <w:t>E</w:t>
            </w:r>
            <w:r w:rsidRPr="00E148B3">
              <w:t>l desprecio y la burla por lo que es o hace la mujer; el temor o la desconfianza, y la justificación de la subordinación femenina. También, provoca que las mujeres parezcan culpables o responsables por las prácticas violentas y discriminatorias que sufren.</w:t>
            </w:r>
          </w:p>
        </w:tc>
      </w:tr>
      <w:tr w:rsidR="00A66066" w:rsidTr="00A66066">
        <w:tc>
          <w:tcPr>
            <w:tcW w:w="5035" w:type="dxa"/>
          </w:tcPr>
          <w:p w:rsidR="00A66066" w:rsidRDefault="00A66066" w:rsidP="00A66066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t>Artículo 28 Bis</w:t>
            </w:r>
          </w:p>
        </w:tc>
        <w:tc>
          <w:tcPr>
            <w:tcW w:w="5035" w:type="dxa"/>
          </w:tcPr>
          <w:p w:rsidR="00A66066" w:rsidRDefault="00A66066" w:rsidP="00A66066">
            <w:pPr>
              <w:spacing w:line="360" w:lineRule="auto"/>
              <w:jc w:val="both"/>
            </w:pPr>
            <w:r>
              <w:t>Artículo 28 Bis</w:t>
            </w:r>
          </w:p>
          <w:p w:rsidR="00A66066" w:rsidRPr="00A66066" w:rsidRDefault="00E148B3" w:rsidP="00E148B3">
            <w:pPr>
              <w:spacing w:line="360" w:lineRule="auto"/>
              <w:jc w:val="both"/>
            </w:pPr>
            <w:r>
              <w:t>Artículo</w:t>
            </w:r>
            <w:r w:rsidR="00A66066">
              <w:t xml:space="preserve"> 28 ter E</w:t>
            </w:r>
            <w:r w:rsidR="00A66066" w:rsidRPr="00A66066">
              <w:t xml:space="preserve">n este caso </w:t>
            </w:r>
            <w:r>
              <w:t xml:space="preserve">de Violencia Simbólica </w:t>
            </w:r>
            <w:r w:rsidR="00A66066" w:rsidRPr="00A66066">
              <w:t>se deberá identificar plenamente al proveedor de servicios en línea a cargo de la administración del sistema informático, sitio o plataforma de Internet en donde se encuentre alojado el contenido y la localización precisa del contenido en Internet, señalando el Localizador Uniforme de Recursos.</w:t>
            </w:r>
          </w:p>
          <w:p w:rsidR="00A66066" w:rsidRPr="00A66066" w:rsidRDefault="00A66066" w:rsidP="00E148B3">
            <w:pPr>
              <w:spacing w:line="360" w:lineRule="auto"/>
              <w:jc w:val="both"/>
            </w:pPr>
            <w:r w:rsidRPr="00A66066">
              <w:t>La autoridad que ordene las medidas de protección contempladas en este artículo deberá solicitar el resguardo y conservación lícita e idónea del contenido que se denunció de acuerdo a las características del mismo.</w:t>
            </w:r>
          </w:p>
          <w:p w:rsidR="00A66066" w:rsidRPr="00A66066" w:rsidRDefault="00A66066" w:rsidP="00E148B3">
            <w:pPr>
              <w:spacing w:line="360" w:lineRule="auto"/>
              <w:jc w:val="both"/>
            </w:pPr>
            <w:r w:rsidRPr="00A66066">
              <w:t>Las plataformas digitales, medios de comunicación, redes sociales o páginas electrónicas darán aviso de forma inmediata al usuario que compartió el contenido, donde se establezca de forma clara y precisa que el contenido será inhabilitado por cumplimiento de una orden judicial.</w:t>
            </w:r>
          </w:p>
          <w:p w:rsidR="00A66066" w:rsidRPr="00E148B3" w:rsidRDefault="00A66066" w:rsidP="00A66066">
            <w:pPr>
              <w:spacing w:line="360" w:lineRule="auto"/>
              <w:jc w:val="both"/>
              <w:rPr>
                <w:lang w:val="es-MX"/>
              </w:rPr>
            </w:pPr>
            <w:r w:rsidRPr="00A66066">
              <w:t>Dentro de los cinco días siguientes a la imposición de las medidas de protección previstas en este artículo deberá celebrarse la audiencia en la que la o el juez de control podrá cancelarlas, ratificarlas o modificarlas considerando la información disponible, así como la irreparabilidad del daño</w:t>
            </w:r>
            <w:r w:rsidRPr="00A66066">
              <w:rPr>
                <w:lang w:val="es-MX"/>
              </w:rPr>
              <w:t>.</w:t>
            </w:r>
          </w:p>
        </w:tc>
      </w:tr>
    </w:tbl>
    <w:p w:rsidR="005F5C45" w:rsidRPr="00EE6025" w:rsidRDefault="005F5C4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F5C45" w:rsidRDefault="005F5C45" w:rsidP="005F5C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B5511F" w:rsidRDefault="00F2017E" w:rsidP="00E148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ARTICULO T R A N S I T O R I O</w:t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ÚNICO.- EL PRESENTE DECRETO ENTRARÁ EN VIGOR AL DÍA SIGUIENTE DE SU PUBLICACIÓN EN EL PERIÓDICO OFICIAL DEL GOBIERNO DEL ESTADO.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Atentamente</w:t>
      </w:r>
    </w:p>
    <w:p w:rsidR="00B5511F" w:rsidRDefault="00E14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Saltillo, Coahuila, Junio</w:t>
      </w:r>
      <w:r w:rsidR="00D91094">
        <w:rPr>
          <w:rFonts w:ascii="Arial" w:eastAsia="Arial" w:hAnsi="Arial" w:cs="Arial"/>
          <w:b/>
          <w:color w:val="000000"/>
          <w:sz w:val="28"/>
          <w:szCs w:val="28"/>
        </w:rPr>
        <w:t xml:space="preserve"> 28</w:t>
      </w:r>
      <w:r w:rsidR="00F2017E">
        <w:rPr>
          <w:rFonts w:ascii="Arial" w:eastAsia="Arial" w:hAnsi="Arial" w:cs="Arial"/>
          <w:b/>
          <w:color w:val="000000"/>
          <w:sz w:val="28"/>
          <w:szCs w:val="28"/>
        </w:rPr>
        <w:t xml:space="preserve"> de 2022</w:t>
      </w: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Grupo Parlamentario de morena</w:t>
      </w:r>
    </w:p>
    <w:p w:rsidR="00B5511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59264" behindDoc="0" locked="0" layoutInCell="1" allowOverlap="1" wp14:anchorId="3DD807A3" wp14:editId="23A9BEE0">
            <wp:simplePos x="0" y="0"/>
            <wp:positionH relativeFrom="column">
              <wp:posOffset>2089150</wp:posOffset>
            </wp:positionH>
            <wp:positionV relativeFrom="paragraph">
              <wp:posOffset>142875</wp:posOffset>
            </wp:positionV>
            <wp:extent cx="2310130" cy="566420"/>
            <wp:effectExtent l="0" t="0" r="0" b="0"/>
            <wp:wrapSquare wrapText="bothSides"/>
            <wp:docPr id="10" name="Imagen 1" descr="C:\Users\2 EN 1 6628\Documents\DOCUMEN SOFIA\Papá\Firma Dip. Teresa de Jesú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cuments\DOCUMEN SOFIA\Papá\Firma Dip. Teresa de Jesú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27407" r="25648" b="2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Dip. Teresa de Jesús Meraz García</w:t>
      </w:r>
    </w:p>
    <w:p w:rsidR="00B5511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1312" behindDoc="0" locked="0" layoutInCell="1" allowOverlap="1" wp14:anchorId="6904638B" wp14:editId="686BBE36">
            <wp:simplePos x="0" y="0"/>
            <wp:positionH relativeFrom="column">
              <wp:posOffset>2334260</wp:posOffset>
            </wp:positionH>
            <wp:positionV relativeFrom="paragraph">
              <wp:posOffset>3810</wp:posOffset>
            </wp:positionV>
            <wp:extent cx="1615440" cy="657860"/>
            <wp:effectExtent l="0" t="0" r="0" b="8890"/>
            <wp:wrapThrough wrapText="bothSides">
              <wp:wrapPolygon edited="0">
                <wp:start x="1274" y="0"/>
                <wp:lineTo x="1528" y="11259"/>
                <wp:lineTo x="8915" y="21266"/>
                <wp:lineTo x="10189" y="21266"/>
                <wp:lineTo x="16302" y="20015"/>
                <wp:lineTo x="18085" y="17514"/>
                <wp:lineTo x="16302" y="10008"/>
                <wp:lineTo x="16811" y="3127"/>
                <wp:lineTo x="14264" y="625"/>
                <wp:lineTo x="6368" y="0"/>
                <wp:lineTo x="1274" y="0"/>
              </wp:wrapPolygon>
            </wp:wrapThrough>
            <wp:docPr id="8" name="Imagen 1" descr="C:\Users\Alvarado\Downloads\IMG-2020122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ado\Downloads\IMG-20201226-WA00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9D4CE"/>
                        </a:clrFrom>
                        <a:clrTo>
                          <a:srgbClr val="D9D4CE">
                            <a:alpha val="0"/>
                          </a:srgbClr>
                        </a:clrTo>
                      </a:clrChange>
                    </a:blip>
                    <a:srcRect l="28169" t="36976" r="47725" b="4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,Bold" w:hAnsi="Arial" w:cs="Arial"/>
          <w:b/>
          <w:noProof/>
          <w:color w:val="000000"/>
          <w:sz w:val="28"/>
          <w:szCs w:val="28"/>
          <w:lang w:val="es-MX"/>
        </w:rPr>
        <w:drawing>
          <wp:anchor distT="0" distB="0" distL="114300" distR="114300" simplePos="0" relativeHeight="251663360" behindDoc="0" locked="0" layoutInCell="1" allowOverlap="1" wp14:anchorId="61F976F3" wp14:editId="3A5526D6">
            <wp:simplePos x="0" y="0"/>
            <wp:positionH relativeFrom="margin">
              <wp:posOffset>2865755</wp:posOffset>
            </wp:positionH>
            <wp:positionV relativeFrom="paragraph">
              <wp:posOffset>74295</wp:posOffset>
            </wp:positionV>
            <wp:extent cx="626110" cy="1682115"/>
            <wp:effectExtent l="0" t="0" r="0" b="0"/>
            <wp:wrapThrough wrapText="bothSides">
              <wp:wrapPolygon edited="0">
                <wp:start x="19442" y="7514"/>
                <wp:lineTo x="17471" y="7269"/>
                <wp:lineTo x="7613" y="909"/>
                <wp:lineTo x="1041" y="1398"/>
                <wp:lineTo x="1041" y="3355"/>
                <wp:lineTo x="2355" y="3600"/>
                <wp:lineTo x="7613" y="20968"/>
                <wp:lineTo x="18128" y="9716"/>
                <wp:lineTo x="19442" y="9471"/>
                <wp:lineTo x="19442" y="7514"/>
              </wp:wrapPolygon>
            </wp:wrapThrough>
            <wp:docPr id="9" name="Imagen 1" descr="C:\Users\2 EN 1 6628\Downloads\WhatsApp Image 2021-03-18 at 4.39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 EN 1 6628\Downloads\WhatsApp Image 2021-03-18 at 4.39.1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2500" b="40391" l="46528" r="56667">
                                  <a14:backgroundMark x1="48611" y1="25000" x2="48611" y2="25000"/>
                                  <a14:backgroundMark x1="51528" y1="26094" x2="51528" y2="26094"/>
                                  <a14:backgroundMark x1="54583" y1="28984" x2="54583" y2="28984"/>
                                  <a14:backgroundMark x1="51389" y1="28281" x2="51389" y2="28281"/>
                                  <a14:backgroundMark x1="48750" y1="30703" x2="48750" y2="30703"/>
                                  <a14:backgroundMark x1="50417" y1="35313" x2="50417" y2="35313"/>
                                  <a14:backgroundMark x1="49583" y1="31563" x2="49583" y2="31563"/>
                                  <a14:backgroundMark x1="49722" y1="33281" x2="49722" y2="332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76" t="21848" r="41519" b="58641"/>
                    <a:stretch/>
                  </pic:blipFill>
                  <pic:spPr bwMode="auto">
                    <a:xfrm rot="16200000">
                      <a:off x="0" y="0"/>
                      <a:ext cx="62611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017E">
        <w:rPr>
          <w:rFonts w:ascii="Arial" w:eastAsia="Arial" w:hAnsi="Arial" w:cs="Arial"/>
          <w:b/>
          <w:color w:val="000000"/>
          <w:sz w:val="28"/>
          <w:szCs w:val="28"/>
        </w:rPr>
        <w:t>Dip. Lizbeth Ogazón Nava</w:t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Dip. Laura Francisca Aguilar Tabares</w:t>
      </w: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B5511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81444F" w:rsidRDefault="0081444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B5511F" w:rsidRDefault="00F201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Dip. Francisco Javier Cortez Gómez</w:t>
      </w:r>
    </w:p>
    <w:sectPr w:rsidR="00B5511F" w:rsidSect="0095456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20" w:rsidRDefault="00513F20">
      <w:r>
        <w:separator/>
      </w:r>
    </w:p>
  </w:endnote>
  <w:endnote w:type="continuationSeparator" w:id="0">
    <w:p w:rsidR="00513F20" w:rsidRDefault="0051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132560"/>
      <w:docPartObj>
        <w:docPartGallery w:val="Page Numbers (Bottom of Page)"/>
        <w:docPartUnique/>
      </w:docPartObj>
    </w:sdtPr>
    <w:sdtEndPr/>
    <w:sdtContent>
      <w:p w:rsidR="00EE6025" w:rsidRDefault="00EE602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F20">
          <w:rPr>
            <w:noProof/>
          </w:rPr>
          <w:t>1</w:t>
        </w:r>
        <w:r>
          <w:fldChar w:fldCharType="end"/>
        </w:r>
      </w:p>
    </w:sdtContent>
  </w:sdt>
  <w:p w:rsidR="00B5511F" w:rsidRDefault="00B551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20" w:rsidRDefault="00513F20">
      <w:r>
        <w:separator/>
      </w:r>
    </w:p>
  </w:footnote>
  <w:footnote w:type="continuationSeparator" w:id="0">
    <w:p w:rsidR="00513F20" w:rsidRDefault="0051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1F" w:rsidRDefault="009545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 wp14:anchorId="5941AB9A" wp14:editId="476115C7">
          <wp:simplePos x="0" y="0"/>
          <wp:positionH relativeFrom="column">
            <wp:posOffset>5256625</wp:posOffset>
          </wp:positionH>
          <wp:positionV relativeFrom="paragraph">
            <wp:posOffset>-99695</wp:posOffset>
          </wp:positionV>
          <wp:extent cx="1087998" cy="1079771"/>
          <wp:effectExtent l="0" t="0" r="0" b="0"/>
          <wp:wrapNone/>
          <wp:docPr id="2" name="image2.png" descr="LX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XI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998" cy="1079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017E">
      <w:rPr>
        <w:smallCaps/>
        <w:color w:val="000000"/>
        <w:sz w:val="32"/>
        <w:szCs w:val="32"/>
      </w:rPr>
      <w:t xml:space="preserve">Estado Independiente, Libre y Soberano </w:t>
    </w:r>
    <w:r w:rsidR="00F2017E"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0340B44B" wp14:editId="645151CC">
          <wp:simplePos x="0" y="0"/>
          <wp:positionH relativeFrom="column">
            <wp:posOffset>-386076</wp:posOffset>
          </wp:positionH>
          <wp:positionV relativeFrom="paragraph">
            <wp:posOffset>-15868</wp:posOffset>
          </wp:positionV>
          <wp:extent cx="849630" cy="868680"/>
          <wp:effectExtent l="0" t="0" r="0" b="0"/>
          <wp:wrapSquare wrapText="bothSides" distT="0" distB="0" distL="114300" distR="114300"/>
          <wp:docPr id="1" name="image1.png" descr="ESCUDO%20DEL%20ESTADO%20DE%20COAHUILA%2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SCUDO%20DEL%20ESTADO%20DE%20COAHUILA%20B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5511F" w:rsidRDefault="00F201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de Coahuila de Zaragoza</w:t>
    </w:r>
  </w:p>
  <w:p w:rsidR="00B5511F" w:rsidRDefault="00B551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</w:rPr>
    </w:pPr>
  </w:p>
  <w:p w:rsidR="00B5511F" w:rsidRDefault="00F2017E" w:rsidP="00627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mallCaps/>
        <w:color w:val="000000"/>
        <w:sz w:val="28"/>
        <w:szCs w:val="28"/>
      </w:rPr>
    </w:pPr>
    <w:r>
      <w:rPr>
        <w:smallCaps/>
        <w:color w:val="000000"/>
        <w:sz w:val="28"/>
        <w:szCs w:val="28"/>
      </w:rPr>
      <w:t>Poder Legislativo</w:t>
    </w:r>
  </w:p>
  <w:p w:rsidR="00627F9C" w:rsidRDefault="00627F9C" w:rsidP="00627F9C">
    <w:pPr>
      <w:tabs>
        <w:tab w:val="center" w:pos="4252"/>
        <w:tab w:val="left" w:pos="5040"/>
        <w:tab w:val="right" w:pos="8504"/>
      </w:tabs>
      <w:ind w:right="-93"/>
      <w:jc w:val="center"/>
      <w:rPr>
        <w:rFonts w:ascii="Arial" w:hAnsi="Arial"/>
        <w:b/>
        <w:bCs/>
        <w:sz w:val="16"/>
        <w:lang w:eastAsia="es-ES"/>
      </w:rPr>
    </w:pPr>
    <w:r>
      <w:rPr>
        <w:rFonts w:ascii="Arial" w:hAnsi="Arial"/>
        <w:sz w:val="18"/>
        <w:lang w:eastAsia="es-ES"/>
      </w:rPr>
      <w:t>“2022, Año de Benito Juárez, Defensor de la Soberanía de Coahuila de Zaragoza”</w:t>
    </w:r>
  </w:p>
  <w:p w:rsidR="00B5511F" w:rsidRDefault="00B551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E33"/>
    <w:multiLevelType w:val="hybridMultilevel"/>
    <w:tmpl w:val="1AB26E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1F"/>
    <w:rsid w:val="000A2804"/>
    <w:rsid w:val="00252129"/>
    <w:rsid w:val="003020A8"/>
    <w:rsid w:val="00354C5B"/>
    <w:rsid w:val="00363BBE"/>
    <w:rsid w:val="00416CE7"/>
    <w:rsid w:val="004D2A8E"/>
    <w:rsid w:val="00513F20"/>
    <w:rsid w:val="005F5C45"/>
    <w:rsid w:val="00627F9C"/>
    <w:rsid w:val="00737978"/>
    <w:rsid w:val="0081444F"/>
    <w:rsid w:val="008C3E4E"/>
    <w:rsid w:val="008E6D18"/>
    <w:rsid w:val="009406D5"/>
    <w:rsid w:val="00954567"/>
    <w:rsid w:val="00A55342"/>
    <w:rsid w:val="00A66066"/>
    <w:rsid w:val="00B5511F"/>
    <w:rsid w:val="00BF15CB"/>
    <w:rsid w:val="00D91094"/>
    <w:rsid w:val="00E148B3"/>
    <w:rsid w:val="00E653C6"/>
    <w:rsid w:val="00EE6025"/>
    <w:rsid w:val="00F2017E"/>
    <w:rsid w:val="00F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9E92"/>
  <w15:docId w15:val="{7B71ED76-5703-4B72-9B97-3B7326E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201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17E"/>
  </w:style>
  <w:style w:type="paragraph" w:styleId="Piedepgina">
    <w:name w:val="footer"/>
    <w:basedOn w:val="Normal"/>
    <w:link w:val="PiedepginaCar"/>
    <w:uiPriority w:val="99"/>
    <w:unhideWhenUsed/>
    <w:rsid w:val="00F201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7E"/>
  </w:style>
  <w:style w:type="paragraph" w:styleId="NormalWeb">
    <w:name w:val="Normal (Web)"/>
    <w:basedOn w:val="Normal"/>
    <w:uiPriority w:val="99"/>
    <w:semiHidden/>
    <w:unhideWhenUsed/>
    <w:rsid w:val="005F5C4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  <w:style w:type="paragraph" w:customStyle="1" w:styleId="Normal1">
    <w:name w:val="Normal1"/>
    <w:rsid w:val="00EE6025"/>
  </w:style>
  <w:style w:type="table" w:styleId="Tablaconcuadrcula">
    <w:name w:val="Table Grid"/>
    <w:basedOn w:val="Tablanormal"/>
    <w:uiPriority w:val="39"/>
    <w:rsid w:val="00A6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D91094"/>
    <w:pPr>
      <w:jc w:val="both"/>
    </w:pPr>
    <w:rPr>
      <w:rFonts w:ascii="Consolas" w:eastAsia="Times New Roman" w:hAnsi="Consolas" w:cs="Times New Roman"/>
      <w:sz w:val="21"/>
      <w:szCs w:val="21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91094"/>
    <w:rPr>
      <w:rFonts w:ascii="Consolas" w:eastAsia="Times New Roman" w:hAnsi="Consolas" w:cs="Times New Roman"/>
      <w:sz w:val="21"/>
      <w:szCs w:val="21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40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Lumbreras</cp:lastModifiedBy>
  <cp:revision>2</cp:revision>
  <dcterms:created xsi:type="dcterms:W3CDTF">2022-06-28T19:12:00Z</dcterms:created>
  <dcterms:modified xsi:type="dcterms:W3CDTF">2022-06-28T19:12:00Z</dcterms:modified>
</cp:coreProperties>
</file>