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6" w:rsidRPr="001F6C13" w:rsidRDefault="00DA70A6" w:rsidP="00DA70A6">
      <w:pPr>
        <w:spacing w:after="0" w:line="240" w:lineRule="auto"/>
        <w:jc w:val="both"/>
        <w:rPr>
          <w:rFonts w:ascii="Arial Narrow" w:eastAsia="Times New Roman" w:hAnsi="Arial Narrow" w:cs="Arial"/>
          <w:b/>
          <w:lang w:eastAsia="es-ES"/>
        </w:rPr>
      </w:pPr>
      <w:r w:rsidRPr="001F6C13">
        <w:rPr>
          <w:rFonts w:ascii="Arial Narrow" w:eastAsia="Times New Roman" w:hAnsi="Arial Narrow" w:cs="Arial"/>
          <w:b/>
          <w:i/>
          <w:lang w:eastAsia="es-ES"/>
        </w:rPr>
        <w:t>TEXTO ORIGINAL</w:t>
      </w:r>
    </w:p>
    <w:p w:rsidR="00DA70A6" w:rsidRPr="001F6C13" w:rsidRDefault="00DA70A6" w:rsidP="00DA70A6">
      <w:pPr>
        <w:spacing w:after="0" w:line="240" w:lineRule="auto"/>
        <w:jc w:val="both"/>
        <w:rPr>
          <w:rFonts w:ascii="Arial Narrow" w:eastAsia="Times New Roman" w:hAnsi="Arial Narrow" w:cs="Arial"/>
          <w:b/>
          <w:lang w:eastAsia="es-ES"/>
        </w:rPr>
      </w:pPr>
    </w:p>
    <w:p w:rsidR="00DA70A6" w:rsidRPr="001F6C13" w:rsidRDefault="00DA70A6" w:rsidP="00DA70A6">
      <w:pPr>
        <w:tabs>
          <w:tab w:val="left" w:pos="8749"/>
        </w:tabs>
        <w:spacing w:after="0" w:line="240" w:lineRule="auto"/>
        <w:jc w:val="both"/>
        <w:rPr>
          <w:rFonts w:ascii="Arial Narrow" w:eastAsia="Times New Roman" w:hAnsi="Arial Narrow" w:cs="Arial"/>
          <w:b/>
          <w:i/>
          <w:snapToGrid w:val="0"/>
          <w:lang w:eastAsia="es-ES"/>
        </w:rPr>
      </w:pPr>
      <w:r w:rsidRPr="001F6C13">
        <w:rPr>
          <w:rFonts w:ascii="Arial Narrow" w:eastAsia="Times New Roman" w:hAnsi="Arial Narrow" w:cs="Arial"/>
          <w:b/>
          <w:i/>
          <w:snapToGrid w:val="0"/>
          <w:lang w:eastAsia="es-ES"/>
        </w:rPr>
        <w:t xml:space="preserve">Ley publicada en el Periódico Oficial, el </w:t>
      </w:r>
      <w:r>
        <w:rPr>
          <w:rFonts w:ascii="Arial Narrow" w:eastAsia="Times New Roman" w:hAnsi="Arial Narrow" w:cs="Arial"/>
          <w:b/>
          <w:i/>
          <w:snapToGrid w:val="0"/>
          <w:lang w:eastAsia="es-ES"/>
        </w:rPr>
        <w:t>martes</w:t>
      </w:r>
      <w:r w:rsidRPr="001F6C13">
        <w:rPr>
          <w:rFonts w:ascii="Arial Narrow" w:eastAsia="Times New Roman" w:hAnsi="Arial Narrow" w:cs="Arial"/>
          <w:b/>
          <w:i/>
          <w:snapToGrid w:val="0"/>
          <w:lang w:eastAsia="es-ES"/>
        </w:rPr>
        <w:t xml:space="preserve"> </w:t>
      </w:r>
      <w:r>
        <w:rPr>
          <w:rFonts w:ascii="Arial Narrow" w:eastAsia="Times New Roman" w:hAnsi="Arial Narrow" w:cs="Arial"/>
          <w:b/>
          <w:i/>
          <w:snapToGrid w:val="0"/>
          <w:lang w:eastAsia="es-ES"/>
        </w:rPr>
        <w:t>7</w:t>
      </w:r>
      <w:r w:rsidRPr="001F6C13">
        <w:rPr>
          <w:rFonts w:ascii="Arial Narrow" w:eastAsia="Times New Roman" w:hAnsi="Arial Narrow" w:cs="Arial"/>
          <w:b/>
          <w:i/>
          <w:snapToGrid w:val="0"/>
          <w:lang w:eastAsia="es-ES"/>
        </w:rPr>
        <w:t xml:space="preserve"> de </w:t>
      </w:r>
      <w:r>
        <w:rPr>
          <w:rFonts w:ascii="Arial Narrow" w:eastAsia="Times New Roman" w:hAnsi="Arial Narrow" w:cs="Arial"/>
          <w:b/>
          <w:i/>
          <w:snapToGrid w:val="0"/>
          <w:lang w:eastAsia="es-ES"/>
        </w:rPr>
        <w:t>julio</w:t>
      </w:r>
      <w:r w:rsidRPr="001F6C13">
        <w:rPr>
          <w:rFonts w:ascii="Arial Narrow" w:eastAsia="Times New Roman" w:hAnsi="Arial Narrow" w:cs="Arial"/>
          <w:b/>
          <w:i/>
          <w:snapToGrid w:val="0"/>
          <w:lang w:eastAsia="es-ES"/>
        </w:rPr>
        <w:t xml:space="preserve"> de 2020.</w:t>
      </w:r>
    </w:p>
    <w:p w:rsidR="00DA70A6" w:rsidRPr="001F6C13" w:rsidRDefault="00DA70A6" w:rsidP="00DA70A6">
      <w:pPr>
        <w:spacing w:after="0" w:line="240" w:lineRule="auto"/>
        <w:jc w:val="both"/>
        <w:rPr>
          <w:rFonts w:ascii="Arial Narrow" w:eastAsia="Times New Roman" w:hAnsi="Arial Narrow" w:cs="Arial"/>
          <w:b/>
          <w:snapToGrid w:val="0"/>
          <w:lang w:eastAsia="es-ES"/>
        </w:rPr>
      </w:pPr>
    </w:p>
    <w:p w:rsidR="00DA70A6" w:rsidRPr="00DA70A6" w:rsidRDefault="00DA70A6" w:rsidP="00DA70A6">
      <w:pPr>
        <w:tabs>
          <w:tab w:val="left" w:pos="5396"/>
        </w:tabs>
        <w:spacing w:after="0" w:line="240" w:lineRule="auto"/>
        <w:rPr>
          <w:rFonts w:ascii="Arial Narrow" w:eastAsia="Calibri" w:hAnsi="Arial Narrow" w:cs="Arial"/>
          <w:b/>
        </w:rPr>
      </w:pPr>
      <w:r w:rsidRPr="00DA70A6">
        <w:rPr>
          <w:rFonts w:ascii="Arial Narrow" w:eastAsia="Calibri" w:hAnsi="Arial Narrow" w:cs="Arial"/>
          <w:b/>
        </w:rPr>
        <w:t>LEY DE MEJORA REGULATORIA PARA EL ESTADO DE COAHUILA DE ZARAGOZA Y SUS MUNICIPIOS</w:t>
      </w:r>
    </w:p>
    <w:p w:rsidR="00DA70A6" w:rsidRDefault="00DA70A6" w:rsidP="00DA70A6">
      <w:pPr>
        <w:pStyle w:val="CM77"/>
        <w:jc w:val="both"/>
        <w:rPr>
          <w:rFonts w:ascii="Arial Narrow" w:hAnsi="Arial Narrow"/>
          <w:b/>
          <w:bCs/>
          <w:sz w:val="22"/>
          <w:szCs w:val="22"/>
        </w:rPr>
      </w:pPr>
    </w:p>
    <w:p w:rsidR="00DA70A6" w:rsidRPr="00FB29D5" w:rsidRDefault="00DA70A6" w:rsidP="00DA70A6">
      <w:pPr>
        <w:pStyle w:val="CM77"/>
        <w:jc w:val="both"/>
        <w:rPr>
          <w:rFonts w:ascii="Arial Narrow" w:hAnsi="Arial Narrow"/>
          <w:sz w:val="22"/>
          <w:szCs w:val="22"/>
        </w:rPr>
      </w:pPr>
      <w:r w:rsidRPr="00FB29D5">
        <w:rPr>
          <w:rFonts w:ascii="Arial Narrow" w:hAnsi="Arial Narrow"/>
          <w:b/>
          <w:bCs/>
          <w:sz w:val="22"/>
          <w:szCs w:val="22"/>
        </w:rPr>
        <w:t xml:space="preserve">EL C. ING. MIGUEL ÁNGEL RIQUELME SOLÍS, GOBERNADOR CONSTITUCIONAL DEL ESTADO INDEPENDIENTE, LIBRE Y SOBERANO DE COAHUILA DE ZARAGOZA, A SUS HABITANTES SABED: </w:t>
      </w:r>
    </w:p>
    <w:p w:rsidR="00DA70A6" w:rsidRDefault="00DA70A6" w:rsidP="00DA70A6">
      <w:pPr>
        <w:pStyle w:val="CM77"/>
        <w:jc w:val="both"/>
        <w:rPr>
          <w:rFonts w:ascii="Arial Narrow" w:hAnsi="Arial Narrow"/>
          <w:b/>
          <w:bCs/>
          <w:sz w:val="22"/>
          <w:szCs w:val="22"/>
        </w:rPr>
      </w:pPr>
    </w:p>
    <w:p w:rsidR="00BD6061" w:rsidRPr="00DA70A6" w:rsidRDefault="00BD6061" w:rsidP="00BD6061">
      <w:pPr>
        <w:spacing w:after="0" w:line="240" w:lineRule="auto"/>
        <w:jc w:val="both"/>
        <w:rPr>
          <w:rFonts w:ascii="Arial Narrow" w:eastAsia="Times New Roman" w:hAnsi="Arial Narrow" w:cs="Arial"/>
          <w:b/>
          <w:snapToGrid w:val="0"/>
          <w:lang w:val="es-ES_tradnl" w:eastAsia="es-ES"/>
        </w:rPr>
      </w:pPr>
      <w:r w:rsidRPr="00DA70A6">
        <w:rPr>
          <w:rFonts w:ascii="Arial Narrow" w:eastAsia="Times New Roman" w:hAnsi="Arial Narrow" w:cs="Arial"/>
          <w:b/>
          <w:snapToGrid w:val="0"/>
          <w:lang w:val="es-ES_tradnl" w:eastAsia="es-ES"/>
        </w:rPr>
        <w:t>QUE EL CONGRESO DEL ESTADO INDEPENDIENTE, LIBRE Y SOBERANO DE COAHUILA DE ZARAGOZA;</w:t>
      </w:r>
    </w:p>
    <w:p w:rsidR="00BD6061" w:rsidRPr="00DA70A6" w:rsidRDefault="00BD6061" w:rsidP="00BD6061">
      <w:pPr>
        <w:spacing w:after="0" w:line="240" w:lineRule="auto"/>
        <w:jc w:val="both"/>
        <w:rPr>
          <w:rFonts w:ascii="Arial Narrow" w:eastAsia="Times New Roman" w:hAnsi="Arial Narrow" w:cs="Arial"/>
          <w:b/>
          <w:snapToGrid w:val="0"/>
          <w:lang w:val="es-ES_tradnl" w:eastAsia="es-ES"/>
        </w:rPr>
      </w:pPr>
    </w:p>
    <w:p w:rsidR="00BD6061" w:rsidRPr="00DA70A6" w:rsidRDefault="00BD6061" w:rsidP="00BD6061">
      <w:pPr>
        <w:widowControl w:val="0"/>
        <w:spacing w:after="0" w:line="240" w:lineRule="auto"/>
        <w:jc w:val="both"/>
        <w:rPr>
          <w:rFonts w:ascii="Arial Narrow" w:eastAsia="Times New Roman" w:hAnsi="Arial Narrow" w:cs="Arial"/>
          <w:b/>
          <w:snapToGrid w:val="0"/>
          <w:lang w:val="es-ES_tradnl" w:eastAsia="es-ES"/>
        </w:rPr>
      </w:pPr>
      <w:r w:rsidRPr="00DA70A6">
        <w:rPr>
          <w:rFonts w:ascii="Arial Narrow" w:eastAsia="Times New Roman" w:hAnsi="Arial Narrow" w:cs="Arial"/>
          <w:b/>
          <w:snapToGrid w:val="0"/>
          <w:lang w:val="es-ES_tradnl" w:eastAsia="es-ES"/>
        </w:rPr>
        <w:t>DECRETA:</w:t>
      </w:r>
    </w:p>
    <w:p w:rsidR="00BD6061" w:rsidRPr="00DA70A6" w:rsidRDefault="00BD6061" w:rsidP="00BD6061">
      <w:pPr>
        <w:widowControl w:val="0"/>
        <w:spacing w:after="0" w:line="240" w:lineRule="auto"/>
        <w:jc w:val="both"/>
        <w:rPr>
          <w:rFonts w:ascii="Arial Narrow" w:eastAsia="Times New Roman" w:hAnsi="Arial Narrow" w:cs="Arial"/>
          <w:b/>
          <w:snapToGrid w:val="0"/>
          <w:lang w:val="es-ES_tradnl" w:eastAsia="es-ES"/>
        </w:rPr>
      </w:pPr>
    </w:p>
    <w:p w:rsidR="00BD6061" w:rsidRPr="00DA70A6" w:rsidRDefault="00BD6061" w:rsidP="00BD6061">
      <w:pPr>
        <w:widowControl w:val="0"/>
        <w:spacing w:after="0" w:line="240" w:lineRule="auto"/>
        <w:jc w:val="both"/>
        <w:rPr>
          <w:rFonts w:ascii="Arial Narrow" w:eastAsia="Times New Roman" w:hAnsi="Arial Narrow" w:cs="Arial"/>
          <w:b/>
          <w:snapToGrid w:val="0"/>
          <w:lang w:val="es-ES_tradnl" w:eastAsia="es-ES"/>
        </w:rPr>
      </w:pPr>
      <w:r w:rsidRPr="00DA70A6">
        <w:rPr>
          <w:rFonts w:ascii="Arial Narrow" w:eastAsia="Times New Roman" w:hAnsi="Arial Narrow" w:cs="Arial"/>
          <w:b/>
          <w:snapToGrid w:val="0"/>
          <w:lang w:val="es-ES_tradnl" w:eastAsia="es-ES"/>
        </w:rPr>
        <w:t xml:space="preserve">NÚMERO 627.- </w:t>
      </w:r>
    </w:p>
    <w:p w:rsidR="00BD6061" w:rsidRPr="00DA70A6" w:rsidRDefault="00BD6061" w:rsidP="00BD6061">
      <w:pPr>
        <w:widowControl w:val="0"/>
        <w:spacing w:after="0" w:line="240" w:lineRule="auto"/>
        <w:jc w:val="both"/>
        <w:rPr>
          <w:rFonts w:ascii="Arial Narrow" w:eastAsia="Times New Roman" w:hAnsi="Arial Narrow" w:cs="Arial"/>
          <w:b/>
          <w:snapToGrid w:val="0"/>
          <w:lang w:val="es-ES_tradnl" w:eastAsia="es-ES"/>
        </w:rPr>
      </w:pPr>
    </w:p>
    <w:p w:rsidR="008F7F6A" w:rsidRPr="00DA70A6" w:rsidRDefault="008F7F6A" w:rsidP="008F7F6A">
      <w:pPr>
        <w:shd w:val="clear" w:color="auto" w:fill="FFFFFF"/>
        <w:autoSpaceDE w:val="0"/>
        <w:autoSpaceDN w:val="0"/>
        <w:adjustRightInd w:val="0"/>
        <w:spacing w:after="0" w:line="360" w:lineRule="auto"/>
        <w:jc w:val="both"/>
        <w:rPr>
          <w:rFonts w:ascii="Arial Narrow" w:eastAsia="Times New Roman" w:hAnsi="Arial Narrow" w:cs="Arial"/>
          <w:b/>
          <w:bCs/>
          <w:lang w:eastAsia="es-ES"/>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ÚNICO.-</w:t>
      </w:r>
      <w:proofErr w:type="gramEnd"/>
      <w:r w:rsidRPr="00DA70A6">
        <w:rPr>
          <w:rFonts w:ascii="Arial Narrow" w:eastAsia="Calibri" w:hAnsi="Arial Narrow" w:cs="Arial"/>
        </w:rPr>
        <w:t xml:space="preserve"> Se expide la </w:t>
      </w:r>
      <w:r w:rsidRPr="00DA70A6">
        <w:rPr>
          <w:rFonts w:ascii="Arial Narrow" w:eastAsia="MS Mincho" w:hAnsi="Arial Narrow" w:cs="Arial"/>
          <w:bCs/>
          <w:lang w:eastAsia="es-ES"/>
        </w:rPr>
        <w:t>Ley de Mejora Regulatoria para el Estado de Coahuila de Zaragoza y sus Municipios,</w:t>
      </w:r>
      <w:r w:rsidRPr="00DA70A6">
        <w:rPr>
          <w:rFonts w:ascii="Arial Narrow" w:eastAsia="Calibri" w:hAnsi="Arial Narrow" w:cs="Arial"/>
        </w:rPr>
        <w:t xml:space="preserve"> para quedar como sigue:</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tabs>
          <w:tab w:val="left" w:pos="5396"/>
        </w:tabs>
        <w:spacing w:after="0" w:line="360" w:lineRule="auto"/>
        <w:ind w:right="-1"/>
        <w:jc w:val="center"/>
        <w:rPr>
          <w:rFonts w:ascii="Arial Narrow" w:eastAsia="Calibri" w:hAnsi="Arial Narrow" w:cs="Arial"/>
          <w:b/>
        </w:rPr>
      </w:pPr>
      <w:r w:rsidRPr="00DA70A6">
        <w:rPr>
          <w:rFonts w:ascii="Arial Narrow" w:eastAsia="Calibri" w:hAnsi="Arial Narrow" w:cs="Arial"/>
          <w:b/>
        </w:rPr>
        <w:t>LEY DE MEJORA REGULATORIA PARA EL ESTADO DE COAHUILA DE ZARAGOZA Y SUS MUNICIPIOS</w:t>
      </w:r>
    </w:p>
    <w:p w:rsidR="008F7F6A" w:rsidRPr="00DA70A6" w:rsidRDefault="008F7F6A" w:rsidP="008F7F6A">
      <w:pPr>
        <w:spacing w:after="0" w:line="360" w:lineRule="auto"/>
        <w:ind w:right="1041"/>
        <w:rPr>
          <w:rFonts w:ascii="Arial Narrow" w:eastAsia="Calibri" w:hAnsi="Arial Narrow" w:cs="Arial"/>
          <w:b/>
        </w:rPr>
      </w:pPr>
    </w:p>
    <w:p w:rsidR="008F7F6A" w:rsidRPr="00DA70A6" w:rsidRDefault="008F7F6A" w:rsidP="008F7F6A">
      <w:pPr>
        <w:tabs>
          <w:tab w:val="left" w:pos="8789"/>
        </w:tabs>
        <w:spacing w:after="0" w:line="360" w:lineRule="auto"/>
        <w:ind w:right="49"/>
        <w:jc w:val="center"/>
        <w:rPr>
          <w:rFonts w:ascii="Arial Narrow" w:eastAsia="Calibri" w:hAnsi="Arial Narrow" w:cs="Arial"/>
          <w:b/>
        </w:rPr>
      </w:pPr>
      <w:r w:rsidRPr="00DA70A6">
        <w:rPr>
          <w:rFonts w:ascii="Arial Narrow" w:eastAsia="Calibri" w:hAnsi="Arial Narrow" w:cs="Arial"/>
          <w:b/>
        </w:rPr>
        <w:t>TÍTULO PRIMERO</w:t>
      </w:r>
    </w:p>
    <w:p w:rsidR="008F7F6A" w:rsidRPr="00DA70A6" w:rsidRDefault="008F7F6A" w:rsidP="008F7F6A">
      <w:pPr>
        <w:tabs>
          <w:tab w:val="left" w:pos="8789"/>
        </w:tabs>
        <w:spacing w:after="0" w:line="360" w:lineRule="auto"/>
        <w:ind w:right="49"/>
        <w:jc w:val="center"/>
        <w:rPr>
          <w:rFonts w:ascii="Arial Narrow" w:eastAsia="Calibri" w:hAnsi="Arial Narrow" w:cs="Arial"/>
          <w:b/>
        </w:rPr>
      </w:pPr>
      <w:r w:rsidRPr="00DA70A6">
        <w:rPr>
          <w:rFonts w:ascii="Arial Narrow" w:eastAsia="Calibri" w:hAnsi="Arial Narrow" w:cs="Arial"/>
          <w:b/>
        </w:rPr>
        <w:t>DISPOSICIONES GENERALES</w:t>
      </w:r>
    </w:p>
    <w:p w:rsidR="008F7F6A" w:rsidRPr="00DA70A6" w:rsidRDefault="008F7F6A" w:rsidP="008F7F6A">
      <w:pPr>
        <w:tabs>
          <w:tab w:val="left" w:pos="8789"/>
        </w:tabs>
        <w:spacing w:after="0" w:line="360" w:lineRule="auto"/>
        <w:ind w:right="1041"/>
        <w:rPr>
          <w:rFonts w:ascii="Arial Narrow" w:eastAsia="Calibri" w:hAnsi="Arial Narrow" w:cs="Arial"/>
          <w:b/>
        </w:rPr>
      </w:pPr>
    </w:p>
    <w:p w:rsidR="008F7F6A" w:rsidRPr="00DA70A6" w:rsidRDefault="008F7F6A" w:rsidP="008F7F6A">
      <w:pPr>
        <w:tabs>
          <w:tab w:val="left" w:pos="8789"/>
        </w:tabs>
        <w:spacing w:after="0" w:line="360" w:lineRule="auto"/>
        <w:ind w:right="49"/>
        <w:jc w:val="center"/>
        <w:rPr>
          <w:rFonts w:ascii="Arial Narrow" w:eastAsia="Calibri" w:hAnsi="Arial Narrow" w:cs="Arial"/>
          <w:b/>
        </w:rPr>
      </w:pPr>
      <w:r w:rsidRPr="00DA70A6">
        <w:rPr>
          <w:rFonts w:ascii="Arial Narrow" w:eastAsia="Calibri" w:hAnsi="Arial Narrow" w:cs="Arial"/>
          <w:b/>
        </w:rPr>
        <w:t>Capítulo I</w:t>
      </w:r>
    </w:p>
    <w:p w:rsidR="008F7F6A" w:rsidRPr="00DA70A6" w:rsidRDefault="008F7F6A" w:rsidP="008F7F6A">
      <w:pPr>
        <w:tabs>
          <w:tab w:val="left" w:pos="8789"/>
        </w:tabs>
        <w:spacing w:after="0" w:line="360" w:lineRule="auto"/>
        <w:ind w:right="49"/>
        <w:jc w:val="center"/>
        <w:rPr>
          <w:rFonts w:ascii="Arial Narrow" w:eastAsia="Calibri" w:hAnsi="Arial Narrow" w:cs="Arial"/>
          <w:b/>
        </w:rPr>
      </w:pPr>
      <w:r w:rsidRPr="00DA70A6">
        <w:rPr>
          <w:rFonts w:ascii="Arial Narrow" w:eastAsia="Calibri" w:hAnsi="Arial Narrow" w:cs="Arial"/>
          <w:b/>
        </w:rPr>
        <w:t>Objeto de la Ley</w:t>
      </w:r>
    </w:p>
    <w:p w:rsidR="008F7F6A" w:rsidRPr="00DA70A6" w:rsidRDefault="008F7F6A" w:rsidP="008F7F6A">
      <w:pPr>
        <w:tabs>
          <w:tab w:val="left" w:pos="8789"/>
        </w:tabs>
        <w:spacing w:after="0" w:line="360" w:lineRule="auto"/>
        <w:ind w:right="1041"/>
        <w:jc w:val="center"/>
        <w:rPr>
          <w:rFonts w:ascii="Arial Narrow" w:eastAsia="Calibri" w:hAnsi="Arial Narrow" w:cs="Arial"/>
          <w:b/>
        </w:rPr>
      </w:pPr>
    </w:p>
    <w:p w:rsidR="008F7F6A" w:rsidRPr="00DA70A6" w:rsidRDefault="008F7F6A" w:rsidP="008F7F6A">
      <w:pPr>
        <w:spacing w:after="0" w:line="360" w:lineRule="auto"/>
        <w:ind w:right="-1"/>
        <w:jc w:val="both"/>
        <w:rPr>
          <w:rFonts w:ascii="Arial Narrow" w:eastAsia="Calibri" w:hAnsi="Arial Narrow" w:cs="Arial"/>
        </w:rPr>
      </w:pPr>
      <w:r w:rsidRPr="00DA70A6">
        <w:rPr>
          <w:rFonts w:ascii="Arial Narrow" w:eastAsia="Calibri" w:hAnsi="Arial Narrow" w:cs="Arial"/>
          <w:b/>
          <w:spacing w:val="3"/>
        </w:rPr>
        <w:t>Artículo 1.</w:t>
      </w:r>
      <w:r w:rsidRPr="00DA70A6">
        <w:rPr>
          <w:rFonts w:ascii="Arial Narrow" w:eastAsia="Calibri" w:hAnsi="Arial Narrow" w:cs="Arial"/>
          <w:spacing w:val="3"/>
        </w:rPr>
        <w:t xml:space="preserve">  La presente ley es de orden público y de observancia general para el </w:t>
      </w:r>
      <w:r w:rsidRPr="00DA70A6">
        <w:rPr>
          <w:rFonts w:ascii="Arial Narrow" w:eastAsia="Calibri" w:hAnsi="Arial Narrow" w:cs="Arial"/>
          <w:spacing w:val="1"/>
        </w:rPr>
        <w:t xml:space="preserve">Estado de Coahuila de Zaragoza y tiene por objeto establecer los principios y las bases a los que deberán </w:t>
      </w:r>
      <w:r w:rsidRPr="00DA70A6">
        <w:rPr>
          <w:rFonts w:ascii="Arial Narrow" w:eastAsia="Calibri" w:hAnsi="Arial Narrow" w:cs="Arial"/>
          <w:w w:val="102"/>
        </w:rPr>
        <w:t xml:space="preserve">sujetarse las dependencias y entidades, organismos públicos descentralizados y desconcentrados de la administración pública estatal y municipal, así como </w:t>
      </w:r>
      <w:r w:rsidRPr="00DA70A6">
        <w:rPr>
          <w:rFonts w:ascii="Arial Narrow" w:eastAsia="Calibri" w:hAnsi="Arial Narrow" w:cs="Arial"/>
          <w:w w:val="106"/>
        </w:rPr>
        <w:t xml:space="preserve">los organismos públicos autónomos en el ámbito de sus </w:t>
      </w:r>
      <w:r w:rsidRPr="00DA70A6">
        <w:rPr>
          <w:rFonts w:ascii="Arial Narrow" w:eastAsia="Calibri" w:hAnsi="Arial Narrow" w:cs="Arial"/>
        </w:rPr>
        <w:t>atribuciones y respectivas competencias en materia de mejora regulatoria.</w:t>
      </w:r>
    </w:p>
    <w:p w:rsidR="008F7F6A" w:rsidRPr="00DA70A6" w:rsidRDefault="008F7F6A" w:rsidP="008F7F6A">
      <w:pPr>
        <w:spacing w:after="0" w:line="360" w:lineRule="auto"/>
        <w:ind w:right="-1"/>
        <w:jc w:val="both"/>
        <w:rPr>
          <w:rFonts w:ascii="Arial Narrow" w:eastAsia="Calibri" w:hAnsi="Arial Narrow" w:cs="Arial"/>
        </w:rPr>
      </w:pPr>
    </w:p>
    <w:p w:rsidR="008F7F6A" w:rsidRPr="00DA70A6" w:rsidRDefault="008F7F6A" w:rsidP="008F7F6A">
      <w:pPr>
        <w:spacing w:after="0" w:line="360" w:lineRule="auto"/>
        <w:ind w:right="-1"/>
        <w:jc w:val="both"/>
        <w:rPr>
          <w:rFonts w:ascii="Arial Narrow" w:eastAsia="Calibri" w:hAnsi="Arial Narrow" w:cs="Arial"/>
        </w:rPr>
      </w:pPr>
      <w:r w:rsidRPr="00DA70A6">
        <w:rPr>
          <w:rFonts w:ascii="Arial Narrow" w:eastAsia="Calibri" w:hAnsi="Arial Narrow" w:cs="Arial"/>
          <w:spacing w:val="-1"/>
        </w:rPr>
        <w:t xml:space="preserve">Los poderes legislativo, judicial y los órganos jurisdiccionales que no formen parte </w:t>
      </w:r>
      <w:proofErr w:type="gramStart"/>
      <w:r w:rsidRPr="00DA70A6">
        <w:rPr>
          <w:rFonts w:ascii="Arial Narrow" w:eastAsia="Calibri" w:hAnsi="Arial Narrow" w:cs="Arial"/>
          <w:spacing w:val="-1"/>
        </w:rPr>
        <w:t>del  Poder</w:t>
      </w:r>
      <w:proofErr w:type="gramEnd"/>
      <w:r w:rsidRPr="00DA70A6">
        <w:rPr>
          <w:rFonts w:ascii="Arial Narrow" w:eastAsia="Calibri" w:hAnsi="Arial Narrow" w:cs="Arial"/>
          <w:spacing w:val="-1"/>
        </w:rPr>
        <w:t xml:space="preserve"> Judicial del Estado, serán sujetos obligados para efectos de lo previsto </w:t>
      </w:r>
      <w:r w:rsidRPr="00DA70A6">
        <w:rPr>
          <w:rFonts w:ascii="Arial Narrow" w:eastAsia="Calibri" w:hAnsi="Arial Narrow" w:cs="Arial"/>
          <w:spacing w:val="2"/>
        </w:rPr>
        <w:t xml:space="preserve">en esta Ley, solo respecto a las obligaciones contenidas en el Registro Estatal de </w:t>
      </w:r>
      <w:r w:rsidRPr="00DA70A6">
        <w:rPr>
          <w:rFonts w:ascii="Arial Narrow" w:eastAsia="Calibri" w:hAnsi="Arial Narrow" w:cs="Arial"/>
        </w:rPr>
        <w:t>Regulaciones, Trámites y Servicios.</w:t>
      </w:r>
    </w:p>
    <w:p w:rsidR="008F7F6A" w:rsidRPr="00DA70A6" w:rsidRDefault="008F7F6A" w:rsidP="008F7F6A">
      <w:pPr>
        <w:spacing w:after="0" w:line="360" w:lineRule="auto"/>
        <w:ind w:right="-1"/>
        <w:jc w:val="both"/>
        <w:rPr>
          <w:rFonts w:ascii="Arial Narrow" w:eastAsia="Calibri" w:hAnsi="Arial Narrow" w:cs="Arial"/>
        </w:rPr>
      </w:pPr>
    </w:p>
    <w:p w:rsidR="008F7F6A" w:rsidRPr="00DA70A6" w:rsidRDefault="008F7F6A" w:rsidP="008F7F6A">
      <w:pPr>
        <w:spacing w:after="0" w:line="360" w:lineRule="auto"/>
        <w:ind w:right="-1"/>
        <w:jc w:val="both"/>
        <w:rPr>
          <w:rFonts w:ascii="Arial Narrow" w:eastAsia="Calibri" w:hAnsi="Arial Narrow" w:cs="Arial"/>
        </w:rPr>
      </w:pPr>
      <w:r w:rsidRPr="00DA70A6">
        <w:rPr>
          <w:rFonts w:ascii="Arial Narrow" w:eastAsia="Calibri" w:hAnsi="Arial Narrow" w:cs="Arial"/>
          <w:spacing w:val="1"/>
        </w:rPr>
        <w:t xml:space="preserve">Este ordenamiento no será aplicable a las materias de carácter fiscal tratándose de </w:t>
      </w:r>
      <w:r w:rsidRPr="00DA70A6">
        <w:rPr>
          <w:rFonts w:ascii="Arial Narrow" w:eastAsia="Calibri" w:hAnsi="Arial Narrow" w:cs="Arial"/>
        </w:rPr>
        <w:t xml:space="preserve">las contribuciones y los accesorios que deriven directamente de aquellas, de responsabilidades </w:t>
      </w:r>
      <w:r w:rsidRPr="00DA70A6">
        <w:rPr>
          <w:rFonts w:ascii="Arial Narrow" w:eastAsia="Calibri" w:hAnsi="Arial Narrow" w:cs="Arial"/>
          <w:w w:val="102"/>
        </w:rPr>
        <w:t xml:space="preserve">de los servidores públicos; tampoco lo será para el Ministerio Público en ejercicio de sus </w:t>
      </w:r>
      <w:r w:rsidRPr="00DA70A6">
        <w:rPr>
          <w:rFonts w:ascii="Arial Narrow" w:eastAsia="Calibri" w:hAnsi="Arial Narrow" w:cs="Arial"/>
        </w:rPr>
        <w:t>funciones constitucionales.</w:t>
      </w:r>
    </w:p>
    <w:p w:rsidR="008F7F6A" w:rsidRPr="00DA70A6" w:rsidRDefault="008F7F6A" w:rsidP="008F7F6A">
      <w:pPr>
        <w:spacing w:after="0" w:line="360" w:lineRule="auto"/>
        <w:ind w:right="-1"/>
        <w:jc w:val="both"/>
        <w:rPr>
          <w:rFonts w:ascii="Arial Narrow" w:eastAsia="Calibri" w:hAnsi="Arial Narrow" w:cs="Arial"/>
        </w:rPr>
      </w:pPr>
    </w:p>
    <w:p w:rsidR="008F7F6A" w:rsidRPr="00DA70A6" w:rsidRDefault="008F7F6A" w:rsidP="008F7F6A">
      <w:pPr>
        <w:spacing w:after="0" w:line="360" w:lineRule="auto"/>
        <w:ind w:right="-1"/>
        <w:jc w:val="both"/>
        <w:rPr>
          <w:rFonts w:ascii="Arial Narrow" w:eastAsia="Calibri" w:hAnsi="Arial Narrow" w:cs="Arial"/>
        </w:rPr>
      </w:pPr>
      <w:r w:rsidRPr="00DA70A6">
        <w:rPr>
          <w:rFonts w:ascii="Arial Narrow" w:eastAsia="Calibri" w:hAnsi="Arial Narrow" w:cs="Arial"/>
          <w:spacing w:val="2"/>
        </w:rPr>
        <w:t xml:space="preserve">La aplicación de la presente ley corresponde a la Secretaría de Economía, al Consejo Estatal de Mejora </w:t>
      </w:r>
      <w:r w:rsidRPr="00DA70A6">
        <w:rPr>
          <w:rFonts w:ascii="Arial Narrow" w:eastAsia="Calibri" w:hAnsi="Arial Narrow" w:cs="Arial"/>
          <w:w w:val="103"/>
        </w:rPr>
        <w:t xml:space="preserve">Regulatoria y a las </w:t>
      </w:r>
      <w:r w:rsidRPr="00DA70A6">
        <w:rPr>
          <w:rFonts w:ascii="Arial Narrow" w:eastAsia="Calibri" w:hAnsi="Arial Narrow" w:cs="Arial"/>
        </w:rPr>
        <w:t>Comisiones Municipales de Mejora Regulatoria, Comités, Unidades Administrativas o Áreas Responsables dentro del ámbito de sus respectivas competencias.</w:t>
      </w:r>
    </w:p>
    <w:p w:rsidR="008F7F6A" w:rsidRPr="00DA70A6" w:rsidRDefault="008F7F6A" w:rsidP="008F7F6A">
      <w:pPr>
        <w:spacing w:after="0" w:line="360" w:lineRule="auto"/>
        <w:ind w:right="1041"/>
        <w:jc w:val="both"/>
        <w:rPr>
          <w:rFonts w:ascii="Arial Narrow" w:eastAsia="Calibri" w:hAnsi="Arial Narrow" w:cs="Arial"/>
        </w:rPr>
      </w:pPr>
    </w:p>
    <w:p w:rsidR="008F7F6A" w:rsidRPr="00DA70A6" w:rsidRDefault="008F7F6A" w:rsidP="008F7F6A">
      <w:pPr>
        <w:spacing w:after="0" w:line="360" w:lineRule="auto"/>
        <w:ind w:right="1041"/>
        <w:jc w:val="both"/>
        <w:rPr>
          <w:rFonts w:ascii="Arial Narrow" w:eastAsia="Calibri" w:hAnsi="Arial Narrow" w:cs="Arial"/>
        </w:rPr>
      </w:pPr>
      <w:r w:rsidRPr="00DA70A6">
        <w:rPr>
          <w:rFonts w:ascii="Arial Narrow" w:eastAsia="Calibri" w:hAnsi="Arial Narrow" w:cs="Arial"/>
          <w:b/>
        </w:rPr>
        <w:t xml:space="preserve">Artículo 2. </w:t>
      </w:r>
      <w:r w:rsidRPr="00DA70A6">
        <w:rPr>
          <w:rFonts w:ascii="Arial Narrow" w:eastAsia="Calibri" w:hAnsi="Arial Narrow" w:cs="Arial"/>
        </w:rPr>
        <w:t>Son objetivos de esta Ley:</w:t>
      </w:r>
    </w:p>
    <w:p w:rsidR="008F7F6A" w:rsidRPr="00DA70A6" w:rsidRDefault="008F7F6A" w:rsidP="008F7F6A">
      <w:pPr>
        <w:spacing w:after="0" w:line="360" w:lineRule="auto"/>
        <w:ind w:right="1041"/>
        <w:jc w:val="both"/>
        <w:rPr>
          <w:rFonts w:ascii="Arial Narrow" w:eastAsia="Calibri" w:hAnsi="Arial Narrow" w:cs="Arial"/>
        </w:rPr>
      </w:pP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w w:val="104"/>
          <w:lang w:eastAsia="es-ES"/>
        </w:rPr>
        <w:t xml:space="preserve">Establecer la obligación de las autoridades estatales y municipales, en el </w:t>
      </w:r>
      <w:r w:rsidRPr="00DA70A6">
        <w:rPr>
          <w:rFonts w:ascii="Arial Narrow" w:eastAsia="Times New Roman" w:hAnsi="Arial Narrow" w:cs="Arial"/>
          <w:spacing w:val="2"/>
          <w:lang w:eastAsia="es-ES"/>
        </w:rPr>
        <w:t xml:space="preserve">ámbito de su competencia, de implementar políticas públicas de mejora regulatoria para el </w:t>
      </w:r>
      <w:r w:rsidRPr="00DA70A6">
        <w:rPr>
          <w:rFonts w:ascii="Arial Narrow" w:eastAsia="Times New Roman" w:hAnsi="Arial Narrow" w:cs="Arial"/>
          <w:w w:val="105"/>
          <w:lang w:eastAsia="es-ES"/>
        </w:rPr>
        <w:t xml:space="preserve">perfeccionamiento de las regulaciones y la simplificación de los trámites y servicios, </w:t>
      </w:r>
      <w:r w:rsidRPr="00DA70A6">
        <w:rPr>
          <w:rFonts w:ascii="Arial Narrow" w:eastAsia="Times New Roman" w:hAnsi="Arial Narrow" w:cs="Arial"/>
          <w:spacing w:val="2"/>
          <w:lang w:eastAsia="es-ES"/>
        </w:rPr>
        <w:t xml:space="preserve">buscando en todo momento la mejora integral, continua y permanente de las regulaciones </w:t>
      </w:r>
      <w:r w:rsidRPr="00DA70A6">
        <w:rPr>
          <w:rFonts w:ascii="Arial Narrow" w:eastAsia="Times New Roman" w:hAnsi="Arial Narrow" w:cs="Arial"/>
          <w:lang w:eastAsia="es-ES"/>
        </w:rPr>
        <w:t>tanto estatales como municipales;</w:t>
      </w:r>
    </w:p>
    <w:p w:rsidR="008F7F6A" w:rsidRPr="00DA70A6" w:rsidRDefault="008F7F6A" w:rsidP="008F7F6A">
      <w:pPr>
        <w:numPr>
          <w:ilvl w:val="0"/>
          <w:numId w:val="8"/>
        </w:numPr>
        <w:tabs>
          <w:tab w:val="left" w:pos="0"/>
        </w:tabs>
        <w:spacing w:after="0" w:line="360" w:lineRule="auto"/>
        <w:contextualSpacing/>
        <w:jc w:val="both"/>
        <w:rPr>
          <w:rFonts w:ascii="Arial Narrow" w:eastAsia="Times New Roman" w:hAnsi="Arial Narrow" w:cs="Arial"/>
          <w:w w:val="103"/>
          <w:lang w:eastAsia="es-ES"/>
        </w:rPr>
      </w:pPr>
      <w:r w:rsidRPr="00DA70A6">
        <w:rPr>
          <w:rFonts w:ascii="Arial Narrow" w:eastAsia="Times New Roman" w:hAnsi="Arial Narrow" w:cs="Arial"/>
          <w:w w:val="103"/>
          <w:lang w:eastAsia="es-ES"/>
        </w:rPr>
        <w:t>Armonizar el marco normativo de la mejora regulatoria del Estado con las d</w:t>
      </w:r>
      <w:r w:rsidRPr="00DA70A6">
        <w:rPr>
          <w:rFonts w:ascii="Arial Narrow" w:eastAsia="Times New Roman" w:hAnsi="Arial Narrow" w:cs="Arial"/>
          <w:lang w:eastAsia="es-ES"/>
        </w:rPr>
        <w:t>isposiciones de la Ley General de Mejora Regulatoria;</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Establecer la organización y el funcionamiento del Sistema Estatal de Mejora Regulatoria;</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w w:val="104"/>
          <w:lang w:eastAsia="es-ES"/>
        </w:rPr>
        <w:t xml:space="preserve">Establecer los instrumentos, herramientas, acciones y procedimientos de </w:t>
      </w:r>
      <w:r w:rsidRPr="00DA70A6">
        <w:rPr>
          <w:rFonts w:ascii="Arial Narrow" w:eastAsia="Times New Roman" w:hAnsi="Arial Narrow" w:cs="Arial"/>
          <w:lang w:eastAsia="es-ES"/>
        </w:rPr>
        <w:t>mejora regulatoria;</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 xml:space="preserve">Regular la operación de los sujetos obligados dentro del Catálogo Estatal y </w:t>
      </w:r>
      <w:r w:rsidRPr="00DA70A6">
        <w:rPr>
          <w:rFonts w:ascii="Arial Narrow" w:eastAsia="Times New Roman" w:hAnsi="Arial Narrow" w:cs="Arial"/>
          <w:lang w:eastAsia="es-ES"/>
        </w:rPr>
        <w:t>Municipal de Regulaciones, Trámites y Servicios;</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Establecer las obligaciones de los Sujetos Obligados para facilitar los trámites y la obtención de servicios, incluyendo el uso de tecnologías de la información;</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Establecer los principios, bases, procedimientos e instrumentos para que las </w:t>
      </w:r>
      <w:r w:rsidRPr="00DA70A6">
        <w:rPr>
          <w:rFonts w:ascii="Arial Narrow" w:eastAsia="Times New Roman" w:hAnsi="Arial Narrow" w:cs="Arial"/>
          <w:spacing w:val="2"/>
          <w:lang w:eastAsia="es-ES"/>
        </w:rPr>
        <w:t xml:space="preserve">Regulaciones garanticen beneficios superiores a sus costos y el máximo bienestar para la </w:t>
      </w:r>
      <w:r w:rsidRPr="00DA70A6">
        <w:rPr>
          <w:rFonts w:ascii="Arial Narrow" w:eastAsia="Times New Roman" w:hAnsi="Arial Narrow" w:cs="Arial"/>
          <w:lang w:eastAsia="es-ES"/>
        </w:rPr>
        <w:t>sociedad; y</w:t>
      </w:r>
    </w:p>
    <w:p w:rsidR="008F7F6A" w:rsidRPr="00DA70A6" w:rsidRDefault="008F7F6A" w:rsidP="008F7F6A">
      <w:pPr>
        <w:numPr>
          <w:ilvl w:val="0"/>
          <w:numId w:val="8"/>
        </w:numPr>
        <w:tabs>
          <w:tab w:val="left" w:pos="0"/>
        </w:tabs>
        <w:spacing w:after="0" w:line="360" w:lineRule="auto"/>
        <w:ind w:right="-1"/>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Promover la eficacia y eficiencia gubernamental, fomentando el desarrollo </w:t>
      </w:r>
      <w:r w:rsidRPr="00DA70A6">
        <w:rPr>
          <w:rFonts w:ascii="Arial Narrow" w:eastAsia="Times New Roman" w:hAnsi="Arial Narrow" w:cs="Arial"/>
          <w:lang w:eastAsia="es-ES"/>
        </w:rPr>
        <w:t>socioeconómico e inversión en la entidad.</w:t>
      </w:r>
    </w:p>
    <w:p w:rsidR="008F7F6A" w:rsidRPr="00DA70A6" w:rsidRDefault="008F7F6A" w:rsidP="008F7F6A">
      <w:pPr>
        <w:tabs>
          <w:tab w:val="left" w:pos="0"/>
        </w:tabs>
        <w:spacing w:after="0" w:line="360" w:lineRule="auto"/>
        <w:ind w:right="-1"/>
        <w:jc w:val="both"/>
        <w:rPr>
          <w:rFonts w:ascii="Arial Narrow" w:eastAsia="Calibri" w:hAnsi="Arial Narrow" w:cs="Arial"/>
        </w:rPr>
      </w:pPr>
    </w:p>
    <w:p w:rsidR="008F7F6A" w:rsidRPr="00DA70A6" w:rsidRDefault="008F7F6A" w:rsidP="008F7F6A">
      <w:pPr>
        <w:spacing w:after="0" w:line="360" w:lineRule="auto"/>
        <w:ind w:right="1041"/>
        <w:jc w:val="both"/>
        <w:rPr>
          <w:rFonts w:ascii="Arial Narrow" w:eastAsia="Calibri" w:hAnsi="Arial Narrow" w:cs="Arial"/>
        </w:rPr>
      </w:pPr>
      <w:r w:rsidRPr="00DA70A6">
        <w:rPr>
          <w:rFonts w:ascii="Arial Narrow" w:eastAsia="Calibri" w:hAnsi="Arial Narrow" w:cs="Arial"/>
          <w:b/>
        </w:rPr>
        <w:t>Artículo 3.</w:t>
      </w:r>
      <w:r w:rsidRPr="00DA70A6">
        <w:rPr>
          <w:rFonts w:ascii="Arial Narrow" w:eastAsia="Calibri" w:hAnsi="Arial Narrow" w:cs="Arial"/>
        </w:rPr>
        <w:t xml:space="preserve"> En la aplicación de esta Ley, se entenderá por:</w:t>
      </w:r>
    </w:p>
    <w:p w:rsidR="008F7F6A" w:rsidRPr="00DA70A6" w:rsidRDefault="008F7F6A" w:rsidP="008F7F6A">
      <w:pPr>
        <w:spacing w:after="0" w:line="360" w:lineRule="auto"/>
        <w:ind w:right="1041"/>
        <w:jc w:val="both"/>
        <w:rPr>
          <w:rFonts w:ascii="Arial Narrow" w:eastAsia="Calibri" w:hAnsi="Arial Narrow" w:cs="Arial"/>
        </w:rPr>
      </w:pP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6"/>
          <w:lang w:eastAsia="es-ES"/>
        </w:rPr>
        <w:t xml:space="preserve">Agenda Regulatoria: La propuesta de las Regulaciones que los Sujetos </w:t>
      </w:r>
      <w:r w:rsidRPr="00DA70A6">
        <w:rPr>
          <w:rFonts w:ascii="Arial Narrow" w:eastAsia="Times New Roman" w:hAnsi="Arial Narrow" w:cs="Arial"/>
          <w:lang w:eastAsia="es-ES"/>
        </w:rPr>
        <w:t>Obligados pretenden expedir;</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5"/>
          <w:lang w:eastAsia="es-ES"/>
        </w:rPr>
        <w:t>APE: La Administración Pública Estatal integrada por el conjunto de los</w:t>
      </w:r>
      <w:r w:rsidR="00C309BD" w:rsidRPr="00DA70A6">
        <w:rPr>
          <w:rFonts w:ascii="Arial Narrow" w:eastAsia="Times New Roman" w:hAnsi="Arial Narrow" w:cs="Arial"/>
          <w:w w:val="105"/>
          <w:lang w:eastAsia="es-ES"/>
        </w:rPr>
        <w:t xml:space="preserve"> </w:t>
      </w:r>
      <w:r w:rsidRPr="00DA70A6">
        <w:rPr>
          <w:rFonts w:ascii="Arial Narrow" w:eastAsia="Times New Roman" w:hAnsi="Arial Narrow" w:cs="Arial"/>
          <w:spacing w:val="2"/>
          <w:lang w:eastAsia="es-ES"/>
        </w:rPr>
        <w:t xml:space="preserve">órganos del Estado que llevan a cabo la procuración de la satisfacción de los intereses o </w:t>
      </w:r>
      <w:r w:rsidRPr="00DA70A6">
        <w:rPr>
          <w:rFonts w:ascii="Arial Narrow" w:eastAsia="Times New Roman" w:hAnsi="Arial Narrow" w:cs="Arial"/>
          <w:lang w:eastAsia="es-ES"/>
        </w:rPr>
        <w:t>necesidades de la colectividad, cuya conformación se establece en la Ley Orgánica de la Administración Pública del Estado de Coahuila de Zaragoza;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Análisis de Impacto Regulatorio: Herramienta mediante la cual los </w:t>
      </w:r>
      <w:r w:rsidRPr="00DA70A6">
        <w:rPr>
          <w:rFonts w:ascii="Arial Narrow" w:eastAsia="Times New Roman" w:hAnsi="Arial Narrow" w:cs="Arial"/>
          <w:lang w:eastAsia="es-ES"/>
        </w:rPr>
        <w:t xml:space="preserve">sujetos obligados justifican, ante la Autoridad de Mejora Regulatoria, la creación de </w:t>
      </w:r>
      <w:proofErr w:type="gramStart"/>
      <w:r w:rsidRPr="00DA70A6">
        <w:rPr>
          <w:rFonts w:ascii="Arial Narrow" w:eastAsia="Times New Roman" w:hAnsi="Arial Narrow" w:cs="Arial"/>
          <w:lang w:eastAsia="es-ES"/>
        </w:rPr>
        <w:t xml:space="preserve">nuevas  </w:t>
      </w:r>
      <w:r w:rsidRPr="00DA70A6">
        <w:rPr>
          <w:rFonts w:ascii="Arial Narrow" w:eastAsia="Times New Roman" w:hAnsi="Arial Narrow" w:cs="Arial"/>
          <w:w w:val="104"/>
          <w:lang w:eastAsia="es-ES"/>
        </w:rPr>
        <w:t>disposiciones</w:t>
      </w:r>
      <w:proofErr w:type="gramEnd"/>
      <w:r w:rsidRPr="00DA70A6">
        <w:rPr>
          <w:rFonts w:ascii="Arial Narrow" w:eastAsia="Times New Roman" w:hAnsi="Arial Narrow" w:cs="Arial"/>
          <w:w w:val="104"/>
          <w:lang w:eastAsia="es-ES"/>
        </w:rPr>
        <w:t xml:space="preserve"> de carácter general, reformas, modificación o en su caso, derogación o  </w:t>
      </w:r>
      <w:r w:rsidRPr="00DA70A6">
        <w:rPr>
          <w:rFonts w:ascii="Arial Narrow" w:eastAsia="Times New Roman" w:hAnsi="Arial Narrow" w:cs="Arial"/>
          <w:w w:val="103"/>
          <w:lang w:eastAsia="es-ES"/>
        </w:rPr>
        <w:t xml:space="preserve">abrogación de los instrumentos normativos, con base en los principios de la política de </w:t>
      </w:r>
      <w:r w:rsidRPr="00DA70A6">
        <w:rPr>
          <w:rFonts w:ascii="Arial Narrow" w:eastAsia="Times New Roman" w:hAnsi="Arial Narrow" w:cs="Arial"/>
          <w:lang w:eastAsia="es-ES"/>
        </w:rPr>
        <w:t>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 xml:space="preserve">Autoridad de Mejora Regulatoria: La Secretaría de Economía, el Consejo Estatal de Mejora Regulatoria, </w:t>
      </w:r>
      <w:r w:rsidRPr="00DA70A6">
        <w:rPr>
          <w:rFonts w:ascii="Arial Narrow" w:eastAsia="Times New Roman" w:hAnsi="Arial Narrow" w:cs="Arial"/>
          <w:spacing w:val="-1"/>
          <w:lang w:eastAsia="es-ES"/>
        </w:rPr>
        <w:t xml:space="preserve">las comisiones de mejora regulatoria municipales, los comités, </w:t>
      </w:r>
      <w:r w:rsidRPr="00DA70A6">
        <w:rPr>
          <w:rFonts w:ascii="Arial Narrow" w:eastAsia="Times New Roman" w:hAnsi="Arial Narrow" w:cs="Arial"/>
          <w:w w:val="106"/>
          <w:lang w:eastAsia="es-ES"/>
        </w:rPr>
        <w:t xml:space="preserve">las unidades administrativas o áreas responsables de conducir la política de mejora </w:t>
      </w:r>
      <w:r w:rsidRPr="00DA70A6">
        <w:rPr>
          <w:rFonts w:ascii="Arial Narrow" w:eastAsia="Times New Roman" w:hAnsi="Arial Narrow" w:cs="Arial"/>
          <w:lang w:eastAsia="es-ES"/>
        </w:rPr>
        <w:t>regulatoria en sus respectivos ámbitos de competencia;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Catálogo: El Catálogo Nacional de Regulaciones, Trámites y Servicios;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Catálogo Estatal: El Catálogo Estatal de Regulaciones, Trámites y Servicios;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Catálogo Municipal: El Catálogo Municipal de Regulaciones, Trámites y Servicios;</w:t>
      </w:r>
    </w:p>
    <w:p w:rsidR="008F7F6A" w:rsidRPr="00DA70A6" w:rsidRDefault="008F7F6A" w:rsidP="00C309BD">
      <w:pPr>
        <w:numPr>
          <w:ilvl w:val="0"/>
          <w:numId w:val="9"/>
        </w:numPr>
        <w:spacing w:after="0" w:line="360" w:lineRule="auto"/>
        <w:ind w:left="357" w:right="1041"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CONAMER: La Comisión Nacional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Comisionados Municipales: Los Comisionados Municipales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Consejo Estatal: El Consejo Estatal de Mejora Regulatoria del Estado de Coahuila de Zaragoza;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Consejo Nacional: El Consejo Nacional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Enlace de Mejora Regulatoria: Servidor público designado como responsable </w:t>
      </w:r>
      <w:r w:rsidRPr="00DA70A6">
        <w:rPr>
          <w:rFonts w:ascii="Arial Narrow" w:eastAsia="Times New Roman" w:hAnsi="Arial Narrow" w:cs="Arial"/>
          <w:lang w:eastAsia="es-ES"/>
        </w:rPr>
        <w:t>de mejora regulatoria al interior de cada instancia gubernamental;</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Estrategia: La Estrategia Nacional de Mejora Regulatoria, que servirá de guía e impondrá las directrices para la formulación de la correspondiente Estrategia Estatal;</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Estrategia Estatal: La Estrategia Estatal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Expediente para Trámites y Servicios: El conjunto de documentos electrónicos emitidos por los Sujetos Obligados asociados a personas físicas o morales, que pueden ser utilizados por cualquier autoridad competente, para resolver trámites y servicios;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Ley:  </w:t>
      </w:r>
      <w:proofErr w:type="gramStart"/>
      <w:r w:rsidRPr="00DA70A6">
        <w:rPr>
          <w:rFonts w:ascii="Arial Narrow" w:eastAsia="Times New Roman" w:hAnsi="Arial Narrow" w:cs="Arial"/>
          <w:lang w:eastAsia="es-ES"/>
        </w:rPr>
        <w:t>La  Ley</w:t>
      </w:r>
      <w:proofErr w:type="gramEnd"/>
      <w:r w:rsidRPr="00DA70A6">
        <w:rPr>
          <w:rFonts w:ascii="Arial Narrow" w:eastAsia="Times New Roman" w:hAnsi="Arial Narrow" w:cs="Arial"/>
          <w:lang w:eastAsia="es-ES"/>
        </w:rPr>
        <w:t xml:space="preserve">  de  Mejora  Regulatoria  para  el  Estado  de Coahuila de Zaragoza y  sus municipios;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Ley General: Ley General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Medio de Difusión: La publicación oficial impresa o electrónica por medio de la cual los Sujetos Obligados dan a conocer las Regulaciones que expiden;</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Observatorio: El Observatorio Nacional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 xml:space="preserve">Padrón: El Padrón Estatal de servidores públicos con nombramiento de </w:t>
      </w:r>
      <w:r w:rsidRPr="00DA70A6">
        <w:rPr>
          <w:rFonts w:ascii="Arial Narrow" w:eastAsia="Times New Roman" w:hAnsi="Arial Narrow" w:cs="Arial"/>
          <w:w w:val="102"/>
          <w:lang w:eastAsia="es-ES"/>
        </w:rPr>
        <w:t xml:space="preserve">inspector, verificador, visitador o supervisor o cuyas competencias sean las de vigilar el </w:t>
      </w:r>
      <w:r w:rsidRPr="00DA70A6">
        <w:rPr>
          <w:rFonts w:ascii="Arial Narrow" w:eastAsia="Times New Roman" w:hAnsi="Arial Narrow" w:cs="Arial"/>
          <w:lang w:eastAsia="es-ES"/>
        </w:rPr>
        <w:t>cumplimiento de alguna Regulación;</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Propuesta   Regulatoria:   Los   anteproyectos   de   iniciativas   de   leyes   o </w:t>
      </w:r>
      <w:r w:rsidRPr="00DA70A6">
        <w:rPr>
          <w:rFonts w:ascii="Arial Narrow" w:eastAsia="Times New Roman" w:hAnsi="Arial Narrow" w:cs="Arial"/>
          <w:w w:val="106"/>
          <w:lang w:eastAsia="es-ES"/>
        </w:rPr>
        <w:t xml:space="preserve">regulaciones o disposiciones de carácter general que pretendan expedir los Sujetos </w:t>
      </w:r>
      <w:r w:rsidRPr="00DA70A6">
        <w:rPr>
          <w:rFonts w:ascii="Arial Narrow" w:eastAsia="Times New Roman" w:hAnsi="Arial Narrow" w:cs="Arial"/>
          <w:spacing w:val="2"/>
          <w:lang w:eastAsia="es-ES"/>
        </w:rPr>
        <w:t xml:space="preserve">Obligados, en el ámbito de su competencia y que se presenten a la consideración de las </w:t>
      </w:r>
      <w:r w:rsidRPr="00DA70A6">
        <w:rPr>
          <w:rFonts w:ascii="Arial Narrow" w:eastAsia="Times New Roman" w:hAnsi="Arial Narrow" w:cs="Arial"/>
          <w:lang w:eastAsia="es-ES"/>
        </w:rPr>
        <w:t>Autoridades de Mejora Regulatoria en los términos de esta Ley;</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Programa de Mejora Regulatoria: Programa Estatal de Mejora Regulatoria</w:t>
      </w:r>
      <w:r w:rsidR="00C309BD" w:rsidRPr="00DA70A6">
        <w:rPr>
          <w:rFonts w:ascii="Arial Narrow" w:eastAsia="Times New Roman" w:hAnsi="Arial Narrow" w:cs="Arial"/>
          <w:lang w:eastAsia="es-ES"/>
        </w:rPr>
        <w:t>;</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Portal oficial: Al espacio de una red informática administrada por el gobierno </w:t>
      </w:r>
      <w:r w:rsidRPr="00DA70A6">
        <w:rPr>
          <w:rFonts w:ascii="Arial Narrow" w:eastAsia="Times New Roman" w:hAnsi="Arial Narrow" w:cs="Arial"/>
          <w:spacing w:val="-1"/>
          <w:lang w:eastAsia="es-ES"/>
        </w:rPr>
        <w:t>del estado o municipal que ofrece de una manera sencilla e integrada, acceso al interesado en gestionar trámites y servicios qu</w:t>
      </w:r>
      <w:r w:rsidR="00C309BD" w:rsidRPr="00DA70A6">
        <w:rPr>
          <w:rFonts w:ascii="Arial Narrow" w:eastAsia="Times New Roman" w:hAnsi="Arial Narrow" w:cs="Arial"/>
          <w:spacing w:val="-1"/>
          <w:lang w:eastAsia="es-ES"/>
        </w:rPr>
        <w:t>e ofrecen los sujetos obligados;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Regulación o Regulaciones: Cualquier normativa de carácter general cuya </w:t>
      </w:r>
      <w:r w:rsidRPr="00DA70A6">
        <w:rPr>
          <w:rFonts w:ascii="Arial Narrow" w:eastAsia="Times New Roman" w:hAnsi="Arial Narrow" w:cs="Arial"/>
          <w:spacing w:val="-1"/>
          <w:lang w:eastAsia="es-ES"/>
        </w:rPr>
        <w:t xml:space="preserve">denominación puede ser Acuerdo, Circular, Código, Criterio, Decreto, Directiva, Disposición </w:t>
      </w:r>
      <w:r w:rsidRPr="00DA70A6">
        <w:rPr>
          <w:rFonts w:ascii="Arial Narrow" w:eastAsia="Times New Roman" w:hAnsi="Arial Narrow" w:cs="Arial"/>
          <w:lang w:eastAsia="es-ES"/>
        </w:rPr>
        <w:t xml:space="preserve">de carácter general, Disposición Técnica, Estatuto, </w:t>
      </w:r>
      <w:r w:rsidRPr="00DA70A6">
        <w:rPr>
          <w:rFonts w:ascii="Arial Narrow" w:eastAsia="Times New Roman" w:hAnsi="Arial Narrow" w:cs="Arial"/>
          <w:lang w:eastAsia="es-ES"/>
        </w:rPr>
        <w:lastRenderedPageBreak/>
        <w:t xml:space="preserve">Formato, Instructivo, Ley, Lineamiento, </w:t>
      </w:r>
      <w:r w:rsidRPr="00DA70A6">
        <w:rPr>
          <w:rFonts w:ascii="Arial Narrow" w:eastAsia="Times New Roman" w:hAnsi="Arial Narrow" w:cs="Arial"/>
          <w:w w:val="102"/>
          <w:lang w:eastAsia="es-ES"/>
        </w:rPr>
        <w:t xml:space="preserve">Manual, Metodología, Regla, Reglamento, o cualquier otra denominación de naturaleza </w:t>
      </w:r>
      <w:r w:rsidRPr="00DA70A6">
        <w:rPr>
          <w:rFonts w:ascii="Arial Narrow" w:eastAsia="Times New Roman" w:hAnsi="Arial Narrow" w:cs="Arial"/>
          <w:lang w:eastAsia="es-ES"/>
        </w:rPr>
        <w:t>análoga que expida cualquier Sujeto Obligado;</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Reglamento: El Reglamento de esta Ley que expida el Titular del Ejecutivo </w:t>
      </w:r>
      <w:r w:rsidRPr="00DA70A6">
        <w:rPr>
          <w:rFonts w:ascii="Arial Narrow" w:eastAsia="Times New Roman" w:hAnsi="Arial Narrow" w:cs="Arial"/>
          <w:lang w:eastAsia="es-ES"/>
        </w:rPr>
        <w:t>Estatal, en el ámbito de su competencia;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Reglamento Interior: Al Reglamento Interior del Consejo Estatal de Mejora Regulatoria del Estado de Coahuila de Zaragoza;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Registro Estatal: Al Registro Estatal de Trámites y Servicios;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Registro Municipal: Al Registro Municipal de Trámites y Servicios del municipio</w:t>
      </w:r>
      <w:r w:rsidRPr="00DA70A6">
        <w:rPr>
          <w:rFonts w:ascii="Arial Narrow" w:eastAsia="Times New Roman" w:hAnsi="Arial Narrow" w:cs="Arial"/>
          <w:lang w:eastAsia="es-ES"/>
        </w:rPr>
        <w:t xml:space="preserve"> que corresponda;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Secretaría: Secretaría de Economía del Gobierno del Estado de Coahuila de Zaragoza;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Secretaría de Fiscalización: Secretaría de Fiscalización y Rendición de Cuentas del Gobierno del Estado de Coahuila de Zaragoza;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4"/>
          <w:lang w:eastAsia="es-ES"/>
        </w:rPr>
        <w:t xml:space="preserve">Servicio: Cualquier beneficio o actividad que los Sujetos Obligados, en el </w:t>
      </w:r>
      <w:r w:rsidRPr="00DA70A6">
        <w:rPr>
          <w:rFonts w:ascii="Arial Narrow" w:eastAsia="Times New Roman" w:hAnsi="Arial Narrow" w:cs="Arial"/>
          <w:spacing w:val="3"/>
          <w:lang w:eastAsia="es-ES"/>
        </w:rPr>
        <w:t xml:space="preserve">ámbito de su competencia, brinden a particulares, previa solicitud y cumplimiento de los </w:t>
      </w:r>
      <w:r w:rsidRPr="00DA70A6">
        <w:rPr>
          <w:rFonts w:ascii="Arial Narrow" w:eastAsia="Times New Roman" w:hAnsi="Arial Narrow" w:cs="Arial"/>
          <w:lang w:eastAsia="es-ES"/>
        </w:rPr>
        <w:t>requisitos aplicables;</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Simplificación: Al procedimiento por medio del cual se propicia la transparencia y la capacidad de síntesis en la elaboración de las regulaciones y procesos </w:t>
      </w:r>
      <w:r w:rsidRPr="00DA70A6">
        <w:rPr>
          <w:rFonts w:ascii="Arial Narrow" w:eastAsia="Times New Roman" w:hAnsi="Arial Narrow" w:cs="Arial"/>
          <w:spacing w:val="-1"/>
          <w:lang w:eastAsia="es-ES"/>
        </w:rPr>
        <w:t>administrativos, así como la reducción de plazos y requisitos o la digitalización o abrogación de los trámites que emanan de tales disposiciones de carácter general, que buscan eliminar cargas al ciudadano;</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Protesta Ciudadana: Al mecanismo mediante el cual se da seguimiento a </w:t>
      </w:r>
      <w:r w:rsidRPr="00DA70A6">
        <w:rPr>
          <w:rFonts w:ascii="Arial Narrow" w:eastAsia="Times New Roman" w:hAnsi="Arial Narrow" w:cs="Arial"/>
          <w:lang w:eastAsia="es-ES"/>
        </w:rPr>
        <w:t>peticiones y/o inconformidades ciudadanas por presuntas negativas y/o falta de respuesta de trámites y/o servicios previstos en la normatividad aplicable, sin aparente razón justificada por parte de la autoridad emisora;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Sistema Estatal: El Sistema Estatal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Sistema Nacional: El Sistema Nacional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Sistema Municipal: El Sistema Municipal de Mejora Regulatoria;</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Sujetos Obligados: La Administración Pública Estatal y sus respectivos </w:t>
      </w:r>
      <w:r w:rsidRPr="00DA70A6">
        <w:rPr>
          <w:rFonts w:ascii="Arial Narrow" w:eastAsia="Times New Roman" w:hAnsi="Arial Narrow" w:cs="Arial"/>
          <w:spacing w:val="3"/>
          <w:lang w:eastAsia="es-ES"/>
        </w:rPr>
        <w:t xml:space="preserve">homólogos de los municipios y sus dependencias y entidades; </w:t>
      </w:r>
      <w:r w:rsidR="00C309BD" w:rsidRPr="00DA70A6">
        <w:rPr>
          <w:rFonts w:ascii="Arial Narrow" w:eastAsia="Times New Roman" w:hAnsi="Arial Narrow" w:cs="Arial"/>
          <w:spacing w:val="3"/>
          <w:lang w:eastAsia="es-ES"/>
        </w:rPr>
        <w:t>y</w:t>
      </w:r>
    </w:p>
    <w:p w:rsidR="008F7F6A" w:rsidRPr="00DA70A6" w:rsidRDefault="008F7F6A" w:rsidP="00C309BD">
      <w:pPr>
        <w:numPr>
          <w:ilvl w:val="0"/>
          <w:numId w:val="9"/>
        </w:numPr>
        <w:spacing w:after="0" w:line="360" w:lineRule="auto"/>
        <w:ind w:left="357"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Trámite: Cualquier solicitud o entrega de información que las personas físicas </w:t>
      </w:r>
      <w:r w:rsidRPr="00DA70A6">
        <w:rPr>
          <w:rFonts w:ascii="Arial Narrow" w:eastAsia="Times New Roman" w:hAnsi="Arial Narrow" w:cs="Arial"/>
          <w:spacing w:val="3"/>
          <w:lang w:eastAsia="es-ES"/>
        </w:rPr>
        <w:t xml:space="preserve">o morales del sector privado realicen ante la autoridad competente en el ámbito estatal o </w:t>
      </w:r>
      <w:r w:rsidRPr="00DA70A6">
        <w:rPr>
          <w:rFonts w:ascii="Arial Narrow" w:eastAsia="Times New Roman" w:hAnsi="Arial Narrow" w:cs="Arial"/>
          <w:spacing w:val="-1"/>
          <w:lang w:eastAsia="es-ES"/>
        </w:rPr>
        <w:t>municipal, ya sea para cumplir una obligación o, en general, a fin de que se emita una resolución.</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spacing w:after="0" w:line="360" w:lineRule="auto"/>
        <w:jc w:val="both"/>
        <w:rPr>
          <w:rFonts w:ascii="Arial Narrow" w:eastAsia="Calibri" w:hAnsi="Arial Narrow" w:cs="Arial"/>
        </w:rPr>
      </w:pPr>
      <w:r w:rsidRPr="00DA70A6">
        <w:rPr>
          <w:rFonts w:ascii="Arial Narrow" w:eastAsia="Calibri" w:hAnsi="Arial Narrow" w:cs="Arial"/>
          <w:b/>
          <w:spacing w:val="3"/>
        </w:rPr>
        <w:t xml:space="preserve">Artículo 4. </w:t>
      </w:r>
      <w:r w:rsidRPr="00DA70A6">
        <w:rPr>
          <w:rFonts w:ascii="Arial Narrow" w:eastAsia="Calibri" w:hAnsi="Arial Narrow" w:cs="Arial"/>
          <w:spacing w:val="3"/>
        </w:rPr>
        <w:t xml:space="preserve">Cuando los plazos fijados por esta Ley y su Reglamento sean en días, </w:t>
      </w:r>
      <w:r w:rsidRPr="00DA70A6">
        <w:rPr>
          <w:rFonts w:ascii="Arial Narrow" w:eastAsia="Calibri" w:hAnsi="Arial Narrow" w:cs="Arial"/>
          <w:spacing w:val="1"/>
        </w:rPr>
        <w:t xml:space="preserve">estos se entenderán como días hábiles. Respecto de los establecidos en meses o años, el </w:t>
      </w:r>
      <w:r w:rsidRPr="00DA70A6">
        <w:rPr>
          <w:rFonts w:ascii="Arial Narrow" w:eastAsia="Calibri" w:hAnsi="Arial Narrow" w:cs="Arial"/>
        </w:rPr>
        <w:t>cómputo se hará de fecha a fecha, considerando incluso los días inhábiles.</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spacing w:after="0" w:line="360" w:lineRule="auto"/>
        <w:jc w:val="both"/>
        <w:rPr>
          <w:rFonts w:ascii="Arial Narrow" w:eastAsia="Calibri" w:hAnsi="Arial Narrow" w:cs="Arial"/>
        </w:rPr>
      </w:pPr>
      <w:proofErr w:type="gramStart"/>
      <w:r w:rsidRPr="00DA70A6">
        <w:rPr>
          <w:rFonts w:ascii="Arial Narrow" w:eastAsia="Calibri" w:hAnsi="Arial Narrow" w:cs="Arial"/>
          <w:spacing w:val="2"/>
        </w:rPr>
        <w:t>Cuando  no</w:t>
      </w:r>
      <w:proofErr w:type="gramEnd"/>
      <w:r w:rsidRPr="00DA70A6">
        <w:rPr>
          <w:rFonts w:ascii="Arial Narrow" w:eastAsia="Calibri" w:hAnsi="Arial Narrow" w:cs="Arial"/>
          <w:spacing w:val="2"/>
        </w:rPr>
        <w:t xml:space="preserve">  se  especifique  el  plazo,  se  entenderán  cinco  días hábiles para  cualquier </w:t>
      </w:r>
      <w:r w:rsidRPr="00DA70A6">
        <w:rPr>
          <w:rFonts w:ascii="Arial Narrow" w:eastAsia="Calibri" w:hAnsi="Arial Narrow" w:cs="Arial"/>
        </w:rPr>
        <w:t>actuación.</w:t>
      </w:r>
    </w:p>
    <w:p w:rsidR="008F7F6A" w:rsidRPr="00DA70A6" w:rsidRDefault="008F7F6A" w:rsidP="008F7F6A">
      <w:pPr>
        <w:spacing w:after="0" w:line="360" w:lineRule="auto"/>
        <w:jc w:val="both"/>
        <w:rPr>
          <w:rFonts w:ascii="Arial Narrow" w:eastAsia="Calibri" w:hAnsi="Arial Narrow" w:cs="Arial"/>
          <w:b/>
        </w:rPr>
      </w:pPr>
    </w:p>
    <w:p w:rsidR="008F7F6A" w:rsidRPr="00DA70A6" w:rsidRDefault="008F7F6A" w:rsidP="008F7F6A">
      <w:pPr>
        <w:spacing w:after="0" w:line="360" w:lineRule="auto"/>
        <w:jc w:val="both"/>
        <w:rPr>
          <w:rFonts w:ascii="Arial Narrow" w:eastAsia="Calibri" w:hAnsi="Arial Narrow" w:cs="Arial"/>
        </w:rPr>
      </w:pPr>
      <w:r w:rsidRPr="00DA70A6">
        <w:rPr>
          <w:rFonts w:ascii="Arial Narrow" w:eastAsia="Calibri" w:hAnsi="Arial Narrow" w:cs="Arial"/>
          <w:b/>
        </w:rPr>
        <w:t>Artículo 5.</w:t>
      </w:r>
      <w:r w:rsidRPr="00DA70A6">
        <w:rPr>
          <w:rFonts w:ascii="Arial Narrow" w:eastAsia="Calibri" w:hAnsi="Arial Narrow" w:cs="Arial"/>
        </w:rPr>
        <w:t xml:space="preserve"> La Administración Pública Estatal y las Municipales, impulsarán el uso y </w:t>
      </w:r>
      <w:r w:rsidRPr="00DA70A6">
        <w:rPr>
          <w:rFonts w:ascii="Arial Narrow" w:eastAsia="Calibri" w:hAnsi="Arial Narrow" w:cs="Arial"/>
          <w:w w:val="103"/>
        </w:rPr>
        <w:t xml:space="preserve">aprovechamiento de las tecnologías de la información y comunicaciones para facilitar la </w:t>
      </w:r>
      <w:r w:rsidRPr="00DA70A6">
        <w:rPr>
          <w:rFonts w:ascii="Arial Narrow" w:eastAsia="Calibri" w:hAnsi="Arial Narrow" w:cs="Arial"/>
          <w:w w:val="109"/>
        </w:rPr>
        <w:t xml:space="preserve">interacción con los ciudadanos a efecto de que estos puedan dirigir sus solicitudes, </w:t>
      </w:r>
      <w:r w:rsidRPr="00DA70A6">
        <w:rPr>
          <w:rFonts w:ascii="Arial Narrow" w:eastAsia="Calibri" w:hAnsi="Arial Narrow" w:cs="Arial"/>
          <w:spacing w:val="3"/>
        </w:rPr>
        <w:t xml:space="preserve">opiniones, comentarios, a través de los sistemas electrónicos de comunicación, así como </w:t>
      </w:r>
      <w:r w:rsidRPr="00DA70A6">
        <w:rPr>
          <w:rFonts w:ascii="Arial Narrow" w:eastAsia="Calibri" w:hAnsi="Arial Narrow" w:cs="Arial"/>
        </w:rPr>
        <w:t xml:space="preserve">obtener la atención o resolución de aquellas por los mismos canales. </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spacing w:after="0" w:line="360" w:lineRule="auto"/>
        <w:jc w:val="both"/>
        <w:rPr>
          <w:rFonts w:ascii="Arial Narrow" w:eastAsia="Calibri" w:hAnsi="Arial Narrow" w:cs="Arial"/>
        </w:rPr>
      </w:pPr>
      <w:r w:rsidRPr="00DA70A6">
        <w:rPr>
          <w:rFonts w:ascii="Arial Narrow" w:eastAsia="Calibri" w:hAnsi="Arial Narrow" w:cs="Arial"/>
        </w:rPr>
        <w:t>Lo anterior en medida de los recursos con los que cuente cada uno de los sujetos obligados.</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tabs>
          <w:tab w:val="left" w:pos="10490"/>
        </w:tabs>
        <w:spacing w:after="0" w:line="360" w:lineRule="auto"/>
        <w:jc w:val="center"/>
        <w:rPr>
          <w:rFonts w:ascii="Arial Narrow" w:eastAsia="Calibri" w:hAnsi="Arial Narrow" w:cs="Arial"/>
          <w:b/>
        </w:rPr>
      </w:pPr>
      <w:r w:rsidRPr="00DA70A6">
        <w:rPr>
          <w:rFonts w:ascii="Arial Narrow" w:eastAsia="Calibri" w:hAnsi="Arial Narrow" w:cs="Arial"/>
          <w:b/>
        </w:rPr>
        <w:t>Capítulo II</w:t>
      </w:r>
    </w:p>
    <w:p w:rsidR="008F7F6A" w:rsidRPr="00DA70A6" w:rsidRDefault="008F7F6A" w:rsidP="008F7F6A">
      <w:pPr>
        <w:tabs>
          <w:tab w:val="left" w:pos="10490"/>
        </w:tabs>
        <w:spacing w:after="0" w:line="360" w:lineRule="auto"/>
        <w:jc w:val="center"/>
        <w:rPr>
          <w:rFonts w:ascii="Arial Narrow" w:eastAsia="Calibri" w:hAnsi="Arial Narrow" w:cs="Arial"/>
          <w:b/>
        </w:rPr>
      </w:pPr>
      <w:r w:rsidRPr="00DA70A6">
        <w:rPr>
          <w:rFonts w:ascii="Arial Narrow" w:eastAsia="Calibri" w:hAnsi="Arial Narrow" w:cs="Arial"/>
          <w:b/>
        </w:rPr>
        <w:t>De los Principios, Bases y Objetivos de la Mejora Regulatoria</w:t>
      </w:r>
    </w:p>
    <w:p w:rsidR="008F7F6A" w:rsidRPr="00DA70A6" w:rsidRDefault="008F7F6A" w:rsidP="008F7F6A">
      <w:pPr>
        <w:tabs>
          <w:tab w:val="left" w:pos="10490"/>
        </w:tabs>
        <w:spacing w:after="0" w:line="360" w:lineRule="auto"/>
        <w:ind w:left="709"/>
        <w:jc w:val="both"/>
        <w:rPr>
          <w:rFonts w:ascii="Arial Narrow" w:eastAsia="Calibri" w:hAnsi="Arial Narrow" w:cs="Arial"/>
          <w:b/>
        </w:rPr>
      </w:pPr>
    </w:p>
    <w:p w:rsidR="008F7F6A" w:rsidRPr="00DA70A6" w:rsidRDefault="008F7F6A" w:rsidP="008F7F6A">
      <w:pPr>
        <w:tabs>
          <w:tab w:val="left" w:pos="10490"/>
        </w:tabs>
        <w:spacing w:after="0" w:line="360" w:lineRule="auto"/>
        <w:jc w:val="both"/>
        <w:rPr>
          <w:rFonts w:ascii="Arial Narrow" w:eastAsia="Calibri" w:hAnsi="Arial Narrow" w:cs="Arial"/>
        </w:rPr>
      </w:pPr>
      <w:r w:rsidRPr="00DA70A6">
        <w:rPr>
          <w:rFonts w:ascii="Arial Narrow" w:eastAsia="Calibri" w:hAnsi="Arial Narrow" w:cs="Arial"/>
          <w:b/>
        </w:rPr>
        <w:t>Artículo 6.</w:t>
      </w:r>
      <w:r w:rsidRPr="00DA70A6">
        <w:rPr>
          <w:rFonts w:ascii="Arial Narrow" w:eastAsia="Calibri" w:hAnsi="Arial Narrow" w:cs="Arial"/>
        </w:rPr>
        <w:t xml:space="preserve"> Los Sujetos Obligados, en la expedición de las Regulaciones, Trámites y </w:t>
      </w:r>
      <w:r w:rsidRPr="00DA70A6">
        <w:rPr>
          <w:rFonts w:ascii="Arial Narrow" w:eastAsia="Calibri" w:hAnsi="Arial Narrow" w:cs="Arial"/>
          <w:spacing w:val="2"/>
        </w:rPr>
        <w:t xml:space="preserve">Servicios deberán respetar los principios de legalidad, reserva de ley, jerarquía normativa, principio de máximo beneficio, control regulatorio, competitividad, máxima publicidad, </w:t>
      </w:r>
      <w:r w:rsidRPr="00DA70A6">
        <w:rPr>
          <w:rFonts w:ascii="Arial Narrow" w:eastAsia="Calibri" w:hAnsi="Arial Narrow" w:cs="Arial"/>
          <w:w w:val="105"/>
        </w:rPr>
        <w:t xml:space="preserve">participación ciudadana y todos aquellos principios que tiendan al cumplimiento de los </w:t>
      </w:r>
      <w:r w:rsidRPr="00DA70A6">
        <w:rPr>
          <w:rFonts w:ascii="Arial Narrow" w:eastAsia="Calibri" w:hAnsi="Arial Narrow" w:cs="Arial"/>
        </w:rPr>
        <w:t>objetivos de esta Ley.</w:t>
      </w:r>
    </w:p>
    <w:p w:rsidR="008F7F6A" w:rsidRPr="00DA70A6" w:rsidRDefault="008F7F6A" w:rsidP="008F7F6A">
      <w:pPr>
        <w:tabs>
          <w:tab w:val="left" w:pos="10490"/>
        </w:tabs>
        <w:spacing w:after="0" w:line="360" w:lineRule="auto"/>
        <w:ind w:left="709"/>
        <w:jc w:val="both"/>
        <w:rPr>
          <w:rFonts w:ascii="Arial Narrow" w:eastAsia="Calibri" w:hAnsi="Arial Narrow" w:cs="Arial"/>
          <w:b/>
        </w:rPr>
      </w:pPr>
    </w:p>
    <w:p w:rsidR="008F7F6A" w:rsidRPr="00DA70A6" w:rsidRDefault="008F7F6A" w:rsidP="008F7F6A">
      <w:pPr>
        <w:tabs>
          <w:tab w:val="left" w:pos="10490"/>
        </w:tabs>
        <w:spacing w:after="0" w:line="360" w:lineRule="auto"/>
        <w:jc w:val="both"/>
        <w:rPr>
          <w:rFonts w:ascii="Arial Narrow" w:eastAsia="Calibri" w:hAnsi="Arial Narrow" w:cs="Arial"/>
        </w:rPr>
      </w:pPr>
      <w:r w:rsidRPr="00DA70A6">
        <w:rPr>
          <w:rFonts w:ascii="Arial Narrow" w:eastAsia="Calibri" w:hAnsi="Arial Narrow" w:cs="Arial"/>
          <w:b/>
          <w:w w:val="104"/>
        </w:rPr>
        <w:t>Artículo 7.</w:t>
      </w:r>
      <w:r w:rsidRPr="00DA70A6">
        <w:rPr>
          <w:rFonts w:ascii="Arial Narrow" w:eastAsia="Calibri" w:hAnsi="Arial Narrow" w:cs="Arial"/>
          <w:w w:val="104"/>
        </w:rPr>
        <w:t xml:space="preserve"> La política de mejora regulatoria se orientará por los principios que a </w:t>
      </w:r>
      <w:r w:rsidRPr="00DA70A6">
        <w:rPr>
          <w:rFonts w:ascii="Arial Narrow" w:eastAsia="Calibri" w:hAnsi="Arial Narrow" w:cs="Arial"/>
        </w:rPr>
        <w:t>continuación se enuncian:</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Mayores beneficios que costos y el máximo beneficio social;</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Seguridad jurídica que propicie la certidumbre de derechos y obligaciones;</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Focalización a objetivos claros, concretos y bien definidos;</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 xml:space="preserve">Coherencia y armonización de las disposiciones que integran el marco </w:t>
      </w:r>
      <w:r w:rsidRPr="00DA70A6">
        <w:rPr>
          <w:rFonts w:ascii="Arial Narrow" w:eastAsia="Times New Roman" w:hAnsi="Arial Narrow" w:cs="Arial"/>
          <w:lang w:eastAsia="es-ES"/>
        </w:rPr>
        <w:t>regulatorio nacional;</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Simplificación, mejora y no duplicidad en la emisión de Regulaciones, Trámites y Servicios;</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Accesibilidad tecnológica;</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Proporcionalidad, prevención razonable y gestión de riesgos;</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Transparencia, responsabilidad y rendición de cuentas;</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Fomento a la competitividad y el empleo;</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Promoción de la libre concurrencia y competencia económica, así como del funcionamiento eficiente de los mercados</w:t>
      </w:r>
      <w:r w:rsidR="00C309BD" w:rsidRPr="00DA70A6">
        <w:rPr>
          <w:rFonts w:ascii="Arial Narrow" w:eastAsia="Times New Roman" w:hAnsi="Arial Narrow" w:cs="Arial"/>
          <w:lang w:eastAsia="es-ES"/>
        </w:rPr>
        <w:t>;</w:t>
      </w:r>
      <w:r w:rsidRPr="00DA70A6">
        <w:rPr>
          <w:rFonts w:ascii="Arial Narrow" w:eastAsia="Times New Roman" w:hAnsi="Arial Narrow" w:cs="Arial"/>
          <w:lang w:eastAsia="es-ES"/>
        </w:rPr>
        <w:t xml:space="preserve"> y</w:t>
      </w:r>
    </w:p>
    <w:p w:rsidR="008F7F6A" w:rsidRPr="00DA70A6" w:rsidRDefault="008F7F6A" w:rsidP="00C309BD">
      <w:pPr>
        <w:numPr>
          <w:ilvl w:val="0"/>
          <w:numId w:val="10"/>
        </w:numPr>
        <w:spacing w:after="0" w:line="360" w:lineRule="auto"/>
        <w:ind w:left="1077"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Reconocimiento de asimetrías en el cumplimiento regulatorio.</w:t>
      </w:r>
    </w:p>
    <w:p w:rsidR="008F7F6A" w:rsidRPr="00DA70A6" w:rsidRDefault="008F7F6A" w:rsidP="00DA70A6">
      <w:pPr>
        <w:tabs>
          <w:tab w:val="left" w:pos="142"/>
          <w:tab w:val="left" w:pos="11057"/>
        </w:tabs>
        <w:spacing w:after="0" w:line="360" w:lineRule="auto"/>
        <w:ind w:right="49"/>
        <w:jc w:val="both"/>
        <w:rPr>
          <w:rFonts w:ascii="Arial Narrow" w:eastAsia="Calibri" w:hAnsi="Arial Narrow" w:cs="Arial"/>
        </w:rPr>
      </w:pPr>
    </w:p>
    <w:p w:rsidR="008F7F6A" w:rsidRPr="00DA70A6" w:rsidRDefault="008F7F6A" w:rsidP="008F7F6A">
      <w:pPr>
        <w:tabs>
          <w:tab w:val="left" w:pos="142"/>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w w:val="103"/>
        </w:rPr>
        <w:lastRenderedPageBreak/>
        <w:t xml:space="preserve">Los Sujetos Obligados deberán ponderar los valores jurídicos tutelados a que se </w:t>
      </w:r>
      <w:r w:rsidRPr="00DA70A6">
        <w:rPr>
          <w:rFonts w:ascii="Arial Narrow" w:eastAsia="Calibri" w:hAnsi="Arial Narrow" w:cs="Arial"/>
          <w:spacing w:val="-1"/>
        </w:rPr>
        <w:t>refiere este precepto y explicitar los criterios de decisión que subyacen a la política de mejora regulatoria atendiendo a los objetivos establecidos en esta Ley.</w:t>
      </w:r>
    </w:p>
    <w:p w:rsidR="008F7F6A" w:rsidRPr="00DA70A6" w:rsidRDefault="008F7F6A" w:rsidP="008F7F6A">
      <w:pPr>
        <w:tabs>
          <w:tab w:val="left" w:pos="11057"/>
        </w:tabs>
        <w:spacing w:after="0" w:line="360" w:lineRule="auto"/>
        <w:ind w:right="49"/>
        <w:jc w:val="both"/>
        <w:rPr>
          <w:rFonts w:ascii="Arial Narrow" w:eastAsia="Calibri" w:hAnsi="Arial Narrow" w:cs="Arial"/>
          <w:b/>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rPr>
        <w:t>Artículo 8.</w:t>
      </w:r>
      <w:r w:rsidRPr="00DA70A6">
        <w:rPr>
          <w:rFonts w:ascii="Arial Narrow" w:eastAsia="Calibri" w:hAnsi="Arial Narrow" w:cs="Arial"/>
        </w:rPr>
        <w:t xml:space="preserve"> Son objetivos de la política de mejora regulatoria, los siguientes:</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Procurar que las Regulaciones que se expidan generen beneficios sociales y económicos superiores a los costos y produzcan el máximo bienestar para la sociedad;</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la eficacia y eficiencia de la Regulación, Trámites y Servicios de los Sujetos Obligados;</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 xml:space="preserve">Garantizar que las Regulaciones no impongan barreras al comercio, a la libre </w:t>
      </w:r>
      <w:r w:rsidRPr="00DA70A6">
        <w:rPr>
          <w:rFonts w:ascii="Arial Narrow" w:eastAsia="Times New Roman" w:hAnsi="Arial Narrow" w:cs="Arial"/>
          <w:lang w:eastAsia="es-ES"/>
        </w:rPr>
        <w:t>concurrencia y la competencia económica;</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6"/>
          <w:lang w:eastAsia="es-ES"/>
        </w:rPr>
        <w:t xml:space="preserve">Generar seguridad jurídica, claridad y transparencia en la elaboración y </w:t>
      </w:r>
      <w:r w:rsidRPr="00DA70A6">
        <w:rPr>
          <w:rFonts w:ascii="Arial Narrow" w:eastAsia="Times New Roman" w:hAnsi="Arial Narrow" w:cs="Arial"/>
          <w:lang w:eastAsia="es-ES"/>
        </w:rPr>
        <w:t>aplicación de las Regulaciones, Trámites y Servicios;</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spacing w:val="2"/>
          <w:lang w:eastAsia="es-ES"/>
        </w:rPr>
      </w:pPr>
      <w:r w:rsidRPr="00DA70A6">
        <w:rPr>
          <w:rFonts w:ascii="Arial Narrow" w:eastAsia="Times New Roman" w:hAnsi="Arial Narrow" w:cs="Arial"/>
          <w:spacing w:val="2"/>
          <w:lang w:eastAsia="es-ES"/>
        </w:rPr>
        <w:t xml:space="preserve">Simplificar y modernizar los Trámites y Servicios; Fomentar una cultura que </w:t>
      </w:r>
      <w:r w:rsidRPr="00DA70A6">
        <w:rPr>
          <w:rFonts w:ascii="Arial Narrow" w:eastAsia="Times New Roman" w:hAnsi="Arial Narrow" w:cs="Arial"/>
          <w:lang w:eastAsia="es-ES"/>
        </w:rPr>
        <w:t>ponga a las personas como centro de la gestión gubernamental;</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1"/>
          <w:lang w:eastAsia="es-ES"/>
        </w:rPr>
        <w:t>Facilitar y mejorar el ambiente para hacer negocios;</w:t>
      </w:r>
    </w:p>
    <w:p w:rsidR="008F7F6A" w:rsidRPr="00DA70A6" w:rsidRDefault="008F7F6A" w:rsidP="008F7F6A">
      <w:pPr>
        <w:numPr>
          <w:ilvl w:val="0"/>
          <w:numId w:val="11"/>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Facilitar, a través del Sistema Estatal, los mecanismos de coordinación y </w:t>
      </w:r>
      <w:r w:rsidRPr="00DA70A6">
        <w:rPr>
          <w:rFonts w:ascii="Arial Narrow" w:eastAsia="Times New Roman" w:hAnsi="Arial Narrow" w:cs="Arial"/>
          <w:lang w:eastAsia="es-ES"/>
        </w:rPr>
        <w:t>participación entre las Autoridades de mejora regulatoria y los Sujetos Obligados del ámbito estatal y municipal, para el cumplimiento de los objetivos de esta Ley;</w:t>
      </w:r>
    </w:p>
    <w:p w:rsidR="008F7F6A" w:rsidRPr="00DA70A6" w:rsidRDefault="008F7F6A" w:rsidP="008F7F6A">
      <w:pPr>
        <w:numPr>
          <w:ilvl w:val="0"/>
          <w:numId w:val="11"/>
        </w:numPr>
        <w:tabs>
          <w:tab w:val="left" w:pos="567"/>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7"/>
          <w:lang w:eastAsia="es-ES"/>
        </w:rPr>
        <w:t xml:space="preserve">Atender al cumplimiento de los objetivos de esta Ley considerando las </w:t>
      </w:r>
      <w:r w:rsidRPr="00DA70A6">
        <w:rPr>
          <w:rFonts w:ascii="Arial Narrow" w:eastAsia="Times New Roman" w:hAnsi="Arial Narrow" w:cs="Arial"/>
          <w:lang w:eastAsia="es-ES"/>
        </w:rPr>
        <w:t>condiciones de desarrollo institucional y las capacidades técnicas, financieras y humanas;</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la participación de los sectores público, social, privado y académico en la mejora regulatoria;</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Facilitar a las personas el ejercicio de los derechos y el cumplimiento de sus </w:t>
      </w:r>
      <w:r w:rsidRPr="00DA70A6">
        <w:rPr>
          <w:rFonts w:ascii="Arial Narrow" w:eastAsia="Times New Roman" w:hAnsi="Arial Narrow" w:cs="Arial"/>
          <w:lang w:eastAsia="es-ES"/>
        </w:rPr>
        <w:t>obligaciones, a través del desarrollo de la referida política pública;</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Armonizar el marco normativo de la mejora regulatoria en el estado atendiendo los principios de esta Ley;</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Facilitar el conocimiento y el entendimiento por parte de la sociedad, de la </w:t>
      </w:r>
      <w:r w:rsidRPr="00DA70A6">
        <w:rPr>
          <w:rFonts w:ascii="Arial Narrow" w:eastAsia="Times New Roman" w:hAnsi="Arial Narrow" w:cs="Arial"/>
          <w:lang w:eastAsia="es-ES"/>
        </w:rPr>
        <w:t>Regulación, mediante la accesibilidad y el uso de lenguaje claro;</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Coadyuvar en las acciones para reducir el costo social y económico derivado </w:t>
      </w:r>
      <w:r w:rsidRPr="00DA70A6">
        <w:rPr>
          <w:rFonts w:ascii="Arial Narrow" w:eastAsia="Times New Roman" w:hAnsi="Arial Narrow" w:cs="Arial"/>
          <w:w w:val="109"/>
          <w:lang w:eastAsia="es-ES"/>
        </w:rPr>
        <w:t xml:space="preserve">de los requerimientos de Trámites y Servicios establecidos por parte de los Sujetos </w:t>
      </w:r>
      <w:r w:rsidRPr="00DA70A6">
        <w:rPr>
          <w:rFonts w:ascii="Arial Narrow" w:eastAsia="Times New Roman" w:hAnsi="Arial Narrow" w:cs="Arial"/>
          <w:lang w:eastAsia="es-ES"/>
        </w:rPr>
        <w:t>Obligados; y</w:t>
      </w:r>
    </w:p>
    <w:p w:rsidR="008F7F6A" w:rsidRPr="00DA70A6" w:rsidRDefault="008F7F6A" w:rsidP="008F7F6A">
      <w:pPr>
        <w:numPr>
          <w:ilvl w:val="0"/>
          <w:numId w:val="11"/>
        </w:numPr>
        <w:tabs>
          <w:tab w:val="left" w:pos="297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Diferenciar los requisitos, Trámites y Servicios para facilitar el establecimiento </w:t>
      </w:r>
      <w:r w:rsidRPr="00DA70A6">
        <w:rPr>
          <w:rFonts w:ascii="Arial Narrow" w:eastAsia="Times New Roman" w:hAnsi="Arial Narrow" w:cs="Arial"/>
          <w:w w:val="102"/>
          <w:lang w:eastAsia="es-ES"/>
        </w:rPr>
        <w:t xml:space="preserve">y funcionamiento de las empresas según su nivel de riesgo, considerando su tamaño, la </w:t>
      </w:r>
      <w:r w:rsidRPr="00DA70A6">
        <w:rPr>
          <w:rFonts w:ascii="Arial Narrow" w:eastAsia="Times New Roman" w:hAnsi="Arial Narrow" w:cs="Arial"/>
          <w:w w:val="105"/>
          <w:lang w:eastAsia="es-ES"/>
        </w:rPr>
        <w:t xml:space="preserve">rentabilidad social, la ubicación en zonas de atención prioritaria, así como otras </w:t>
      </w:r>
      <w:r w:rsidRPr="00DA70A6">
        <w:rPr>
          <w:rFonts w:ascii="Arial Narrow" w:eastAsia="Times New Roman" w:hAnsi="Arial Narrow" w:cs="Arial"/>
          <w:lang w:eastAsia="es-ES"/>
        </w:rPr>
        <w:t>características relevantes para el estado.</w:t>
      </w:r>
    </w:p>
    <w:p w:rsidR="008F7F6A" w:rsidRPr="00DA70A6" w:rsidRDefault="008F7F6A" w:rsidP="008F7F6A">
      <w:pPr>
        <w:tabs>
          <w:tab w:val="left" w:pos="11057"/>
        </w:tabs>
        <w:spacing w:after="0" w:line="360" w:lineRule="auto"/>
        <w:ind w:right="49"/>
        <w:jc w:val="both"/>
        <w:rPr>
          <w:rFonts w:ascii="Arial Narrow" w:eastAsia="Calibri" w:hAnsi="Arial Narrow" w:cs="Arial"/>
          <w:b/>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spacing w:val="1"/>
        </w:rPr>
        <w:t>Artículo 9.</w:t>
      </w:r>
      <w:r w:rsidRPr="00DA70A6">
        <w:rPr>
          <w:rFonts w:ascii="Arial Narrow" w:eastAsia="Calibri" w:hAnsi="Arial Narrow" w:cs="Arial"/>
          <w:spacing w:val="1"/>
        </w:rPr>
        <w:t xml:space="preserve"> Para efectos de la presente ley, se aplicará de manera supletoria la Ley </w:t>
      </w:r>
      <w:r w:rsidRPr="00DA70A6">
        <w:rPr>
          <w:rFonts w:ascii="Arial Narrow" w:eastAsia="Calibri" w:hAnsi="Arial Narrow" w:cs="Arial"/>
        </w:rPr>
        <w:t xml:space="preserve">General de Mejora Regulatoria. </w:t>
      </w:r>
    </w:p>
    <w:p w:rsidR="008F7F6A" w:rsidRPr="00DA70A6" w:rsidRDefault="008F7F6A" w:rsidP="008F7F6A">
      <w:pPr>
        <w:tabs>
          <w:tab w:val="left" w:pos="11057"/>
        </w:tabs>
        <w:spacing w:after="0" w:line="360" w:lineRule="auto"/>
        <w:ind w:right="49"/>
        <w:jc w:val="both"/>
        <w:rPr>
          <w:rFonts w:ascii="Arial Narrow" w:eastAsia="Calibri" w:hAnsi="Arial Narrow" w:cs="Arial"/>
          <w:w w:val="104"/>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w w:val="104"/>
        </w:rPr>
        <w:t>Artículo 10.</w:t>
      </w:r>
      <w:r w:rsidRPr="00DA70A6">
        <w:rPr>
          <w:rFonts w:ascii="Arial Narrow" w:eastAsia="Calibri" w:hAnsi="Arial Narrow" w:cs="Arial"/>
          <w:w w:val="104"/>
        </w:rPr>
        <w:t xml:space="preserve">  Los gastos que los Sujetos Obligados requieran para implementar </w:t>
      </w:r>
      <w:r w:rsidRPr="00DA70A6">
        <w:rPr>
          <w:rFonts w:ascii="Arial Narrow" w:eastAsia="Calibri" w:hAnsi="Arial Narrow" w:cs="Arial"/>
          <w:w w:val="103"/>
        </w:rPr>
        <w:t xml:space="preserve">acciones en materia de mejora regulatoria deberán ser considerados e incluidos en sus </w:t>
      </w:r>
      <w:r w:rsidRPr="00DA70A6">
        <w:rPr>
          <w:rFonts w:ascii="Arial Narrow" w:eastAsia="Calibri" w:hAnsi="Arial Narrow" w:cs="Arial"/>
        </w:rPr>
        <w:t>presupuestos y programas respectivos.</w:t>
      </w:r>
    </w:p>
    <w:p w:rsidR="008F7F6A" w:rsidRPr="00DA70A6" w:rsidRDefault="008F7F6A" w:rsidP="008F7F6A">
      <w:pPr>
        <w:spacing w:after="0" w:line="360" w:lineRule="auto"/>
        <w:jc w:val="both"/>
        <w:rPr>
          <w:rFonts w:ascii="Arial Narrow" w:eastAsia="Calibri" w:hAnsi="Arial Narrow" w:cs="Arial"/>
        </w:rPr>
      </w:pPr>
    </w:p>
    <w:p w:rsidR="00A25852" w:rsidRPr="00DA70A6" w:rsidRDefault="00A25852" w:rsidP="008F7F6A">
      <w:pPr>
        <w:spacing w:after="0" w:line="360" w:lineRule="auto"/>
        <w:jc w:val="both"/>
        <w:rPr>
          <w:rFonts w:ascii="Arial Narrow" w:eastAsia="Calibri" w:hAnsi="Arial Narrow" w:cs="Arial"/>
        </w:rPr>
      </w:pP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TÍTULO SEGUNDO</w:t>
      </w: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DEL SISTEMA ESTATAL DE MEJORA REGULATORIA</w:t>
      </w:r>
    </w:p>
    <w:p w:rsidR="008F7F6A" w:rsidRPr="00DA70A6" w:rsidRDefault="008F7F6A" w:rsidP="008F7F6A">
      <w:pPr>
        <w:tabs>
          <w:tab w:val="left" w:pos="11057"/>
        </w:tabs>
        <w:spacing w:after="0" w:line="360" w:lineRule="auto"/>
        <w:ind w:right="49"/>
        <w:rPr>
          <w:rFonts w:ascii="Arial Narrow" w:eastAsia="Calibri" w:hAnsi="Arial Narrow" w:cs="Arial"/>
          <w:b/>
        </w:rPr>
      </w:pP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Capítulo I</w:t>
      </w: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De la Integración</w:t>
      </w:r>
    </w:p>
    <w:p w:rsidR="008F7F6A" w:rsidRPr="00DA70A6" w:rsidRDefault="008F7F6A" w:rsidP="008F7F6A">
      <w:pPr>
        <w:tabs>
          <w:tab w:val="left" w:pos="11057"/>
        </w:tabs>
        <w:spacing w:after="0" w:line="360" w:lineRule="auto"/>
        <w:ind w:right="49"/>
        <w:rPr>
          <w:rFonts w:ascii="Arial Narrow" w:eastAsia="Calibri" w:hAnsi="Arial Narrow" w:cs="Arial"/>
          <w:b/>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w w:val="102"/>
        </w:rPr>
        <w:t>Artículo 11.</w:t>
      </w:r>
      <w:r w:rsidRPr="00DA70A6">
        <w:rPr>
          <w:rFonts w:ascii="Arial Narrow" w:eastAsia="Calibri" w:hAnsi="Arial Narrow" w:cs="Arial"/>
          <w:w w:val="102"/>
        </w:rPr>
        <w:t xml:space="preserve"> El Sistema Estatal tiene por objeto coordinar a las autoridades de los </w:t>
      </w:r>
      <w:r w:rsidRPr="00DA70A6">
        <w:rPr>
          <w:rFonts w:ascii="Arial Narrow" w:eastAsia="Calibri" w:hAnsi="Arial Narrow" w:cs="Arial"/>
        </w:rPr>
        <w:t xml:space="preserve">órdenes de gobierno estatal y municipal, en su respectiva competencia, a través de normas, </w:t>
      </w:r>
      <w:r w:rsidRPr="00DA70A6">
        <w:rPr>
          <w:rFonts w:ascii="Arial Narrow" w:eastAsia="Calibri" w:hAnsi="Arial Narrow" w:cs="Arial"/>
          <w:w w:val="106"/>
        </w:rPr>
        <w:t xml:space="preserve">principios, objetivos, planes, directrices, órganos, instancias y procedimientos para la </w:t>
      </w:r>
      <w:r w:rsidRPr="00DA70A6">
        <w:rPr>
          <w:rFonts w:ascii="Arial Narrow" w:eastAsia="Calibri" w:hAnsi="Arial Narrow" w:cs="Arial"/>
          <w:spacing w:val="1"/>
        </w:rPr>
        <w:t xml:space="preserve">implementación de la Estrategia Nacional y la formulación, desarrollo e implementación de </w:t>
      </w:r>
      <w:r w:rsidRPr="00DA70A6">
        <w:rPr>
          <w:rFonts w:ascii="Arial Narrow" w:eastAsia="Calibri" w:hAnsi="Arial Narrow" w:cs="Arial"/>
        </w:rPr>
        <w:t>la Estrategia Estatal y la política en materia de mejora regulatoria.</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rPr>
        <w:t>Artículo 12.</w:t>
      </w:r>
      <w:r w:rsidRPr="00DA70A6">
        <w:rPr>
          <w:rFonts w:ascii="Arial Narrow" w:eastAsia="Calibri" w:hAnsi="Arial Narrow" w:cs="Arial"/>
        </w:rPr>
        <w:t xml:space="preserve"> El Sistema Estatal estará integrado por:</w:t>
      </w:r>
    </w:p>
    <w:p w:rsidR="00A25852" w:rsidRPr="00DA70A6" w:rsidRDefault="00A25852" w:rsidP="008F7F6A">
      <w:pPr>
        <w:tabs>
          <w:tab w:val="left" w:pos="11057"/>
        </w:tabs>
        <w:spacing w:after="0" w:line="360" w:lineRule="auto"/>
        <w:ind w:right="49"/>
        <w:jc w:val="both"/>
        <w:rPr>
          <w:rFonts w:ascii="Arial Narrow" w:eastAsia="Calibri" w:hAnsi="Arial Narrow" w:cs="Arial"/>
        </w:rPr>
      </w:pPr>
    </w:p>
    <w:p w:rsidR="008F7F6A" w:rsidRPr="00DA70A6" w:rsidRDefault="008F7F6A" w:rsidP="008F7F6A">
      <w:pPr>
        <w:numPr>
          <w:ilvl w:val="0"/>
          <w:numId w:val="12"/>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El Consejo Estatal;</w:t>
      </w:r>
    </w:p>
    <w:p w:rsidR="008F7F6A" w:rsidRPr="00DA70A6" w:rsidRDefault="008F7F6A" w:rsidP="008F7F6A">
      <w:pPr>
        <w:numPr>
          <w:ilvl w:val="0"/>
          <w:numId w:val="12"/>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La Estrategia Estatal;</w:t>
      </w:r>
    </w:p>
    <w:p w:rsidR="008F7F6A" w:rsidRPr="00DA70A6" w:rsidRDefault="008F7F6A" w:rsidP="008F7F6A">
      <w:pPr>
        <w:numPr>
          <w:ilvl w:val="0"/>
          <w:numId w:val="12"/>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Secretaría de Economía del Gobierno del Estado de Coahuila de Zaragoza</w:t>
      </w:r>
      <w:r w:rsidR="00173F69" w:rsidRPr="00DA70A6">
        <w:rPr>
          <w:rFonts w:ascii="Arial Narrow" w:eastAsia="Times New Roman" w:hAnsi="Arial Narrow" w:cs="Arial"/>
          <w:lang w:eastAsia="es-ES"/>
        </w:rPr>
        <w:t>;</w:t>
      </w:r>
    </w:p>
    <w:p w:rsidR="008F7F6A" w:rsidRPr="00DA70A6" w:rsidRDefault="008F7F6A" w:rsidP="008F7F6A">
      <w:pPr>
        <w:numPr>
          <w:ilvl w:val="0"/>
          <w:numId w:val="12"/>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Los Sistemas de Mejora Regulatoria de los municipios y las Comisiones</w:t>
      </w:r>
      <w:r w:rsidRPr="00DA70A6">
        <w:rPr>
          <w:rFonts w:ascii="Arial Narrow" w:eastAsia="Times New Roman" w:hAnsi="Arial Narrow" w:cs="Arial"/>
          <w:lang w:eastAsia="es-ES"/>
        </w:rPr>
        <w:t xml:space="preserve"> Municipales de Mejora Regulatoria</w:t>
      </w:r>
      <w:r w:rsidR="00173F69" w:rsidRPr="00DA70A6">
        <w:rPr>
          <w:rFonts w:ascii="Arial Narrow" w:eastAsia="Times New Roman" w:hAnsi="Arial Narrow" w:cs="Arial"/>
          <w:lang w:eastAsia="es-ES"/>
        </w:rPr>
        <w:t>; y</w:t>
      </w:r>
    </w:p>
    <w:p w:rsidR="008F7F6A" w:rsidRPr="00DA70A6" w:rsidRDefault="008F7F6A" w:rsidP="008F7F6A">
      <w:pPr>
        <w:numPr>
          <w:ilvl w:val="0"/>
          <w:numId w:val="12"/>
        </w:numPr>
        <w:tabs>
          <w:tab w:val="left" w:pos="426"/>
          <w:tab w:val="left" w:pos="11057"/>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Sujetos Obligados.</w:t>
      </w:r>
    </w:p>
    <w:p w:rsidR="008F7F6A" w:rsidRPr="00DA70A6" w:rsidRDefault="008F7F6A" w:rsidP="008F7F6A">
      <w:pPr>
        <w:tabs>
          <w:tab w:val="left" w:pos="426"/>
          <w:tab w:val="left" w:pos="11057"/>
        </w:tabs>
        <w:spacing w:after="0" w:line="360" w:lineRule="auto"/>
        <w:ind w:left="1080" w:right="49"/>
        <w:jc w:val="both"/>
        <w:rPr>
          <w:rFonts w:ascii="Arial Narrow" w:eastAsia="Times New Roman" w:hAnsi="Arial Narrow" w:cs="Arial"/>
          <w:lang w:eastAsia="es-ES"/>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rPr>
        <w:t>Artículo 13.</w:t>
      </w:r>
      <w:r w:rsidRPr="00DA70A6">
        <w:rPr>
          <w:rFonts w:ascii="Arial Narrow" w:eastAsia="Calibri" w:hAnsi="Arial Narrow" w:cs="Arial"/>
        </w:rPr>
        <w:t xml:space="preserve"> Son herramientas del Sistema Estatal:</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C309BD">
      <w:pPr>
        <w:numPr>
          <w:ilvl w:val="0"/>
          <w:numId w:val="13"/>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Catálogo;</w:t>
      </w:r>
    </w:p>
    <w:p w:rsidR="008F7F6A" w:rsidRPr="00DA70A6" w:rsidRDefault="008F7F6A" w:rsidP="00C309BD">
      <w:pPr>
        <w:numPr>
          <w:ilvl w:val="0"/>
          <w:numId w:val="13"/>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Agenda Regulatoria Estatal y las Municipales;</w:t>
      </w:r>
    </w:p>
    <w:p w:rsidR="008F7F6A" w:rsidRPr="00DA70A6" w:rsidRDefault="008F7F6A" w:rsidP="00C309BD">
      <w:pPr>
        <w:numPr>
          <w:ilvl w:val="0"/>
          <w:numId w:val="13"/>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Análisis de Impacto Regulatorio; y</w:t>
      </w:r>
    </w:p>
    <w:p w:rsidR="008F7F6A" w:rsidRPr="00DA70A6" w:rsidRDefault="008F7F6A" w:rsidP="00C309BD">
      <w:pPr>
        <w:numPr>
          <w:ilvl w:val="0"/>
          <w:numId w:val="13"/>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Programas de Mejora Regulatoria.</w:t>
      </w:r>
    </w:p>
    <w:p w:rsidR="008F7F6A" w:rsidRPr="00DA70A6" w:rsidRDefault="008F7F6A" w:rsidP="008F7F6A">
      <w:pPr>
        <w:tabs>
          <w:tab w:val="left" w:pos="426"/>
          <w:tab w:val="left" w:pos="11057"/>
        </w:tabs>
        <w:spacing w:after="0" w:line="360" w:lineRule="auto"/>
        <w:ind w:left="708" w:right="49"/>
        <w:jc w:val="both"/>
        <w:rPr>
          <w:rFonts w:ascii="Arial Narrow" w:eastAsia="Times New Roman" w:hAnsi="Arial Narrow" w:cs="Arial"/>
          <w:lang w:eastAsia="es-ES"/>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b/>
          <w:spacing w:val="1"/>
        </w:rPr>
        <w:t>Artículo 14.</w:t>
      </w:r>
      <w:r w:rsidRPr="00DA70A6">
        <w:rPr>
          <w:rFonts w:ascii="Arial Narrow" w:eastAsia="Calibri" w:hAnsi="Arial Narrow" w:cs="Arial"/>
          <w:spacing w:val="1"/>
        </w:rPr>
        <w:t xml:space="preserve"> Los titulares de los Sujetos Obligados designarán a un servidor público </w:t>
      </w:r>
      <w:r w:rsidRPr="00DA70A6">
        <w:rPr>
          <w:rFonts w:ascii="Arial Narrow" w:eastAsia="Calibri" w:hAnsi="Arial Narrow" w:cs="Arial"/>
          <w:w w:val="102"/>
        </w:rPr>
        <w:t>con nivel de titular de área como responsable oficial de mejora</w:t>
      </w:r>
      <w:r w:rsidRPr="00DA70A6">
        <w:rPr>
          <w:rFonts w:ascii="Arial Narrow" w:eastAsia="Calibri" w:hAnsi="Arial Narrow" w:cs="Arial"/>
          <w:b/>
          <w:w w:val="102"/>
        </w:rPr>
        <w:t xml:space="preserve"> </w:t>
      </w:r>
      <w:r w:rsidRPr="00DA70A6">
        <w:rPr>
          <w:rFonts w:ascii="Arial Narrow" w:eastAsia="Calibri" w:hAnsi="Arial Narrow" w:cs="Arial"/>
          <w:w w:val="102"/>
        </w:rPr>
        <w:t xml:space="preserve">regulatoria </w:t>
      </w:r>
      <w:r w:rsidRPr="00DA70A6">
        <w:rPr>
          <w:rFonts w:ascii="Arial Narrow" w:eastAsia="Calibri" w:hAnsi="Arial Narrow" w:cs="Arial"/>
          <w:w w:val="103"/>
        </w:rPr>
        <w:t xml:space="preserve">para coordinar, articular y vigilar el cumplimiento de la política de mejora </w:t>
      </w:r>
      <w:r w:rsidRPr="00DA70A6">
        <w:rPr>
          <w:rFonts w:ascii="Arial Narrow" w:eastAsia="Calibri" w:hAnsi="Arial Narrow" w:cs="Arial"/>
          <w:w w:val="103"/>
        </w:rPr>
        <w:lastRenderedPageBreak/>
        <w:t xml:space="preserve">regulatoria y la Estrategia Estatal al interior de cada Sujeto Obligado conforme a lo dispuesto en la Ley </w:t>
      </w:r>
      <w:r w:rsidRPr="00DA70A6">
        <w:rPr>
          <w:rFonts w:ascii="Arial Narrow" w:eastAsia="Calibri" w:hAnsi="Arial Narrow" w:cs="Arial"/>
        </w:rPr>
        <w:t>General de Mejora Regulatoria, en la Estrategia Nacional, en esta Ley y en las disposiciones que de ellas deriven.</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rPr>
        <w:t xml:space="preserve">En caso de que el Sujeto Obligado no cuente con servidores públicos de dicho nivel, </w:t>
      </w:r>
      <w:r w:rsidRPr="00DA70A6">
        <w:rPr>
          <w:rFonts w:ascii="Arial Narrow" w:eastAsia="Calibri" w:hAnsi="Arial Narrow" w:cs="Arial"/>
          <w:spacing w:val="1"/>
        </w:rPr>
        <w:t xml:space="preserve">deberá ser un servidor público que tenga un nivel jerárquico inmediato inferior al del titular. </w:t>
      </w:r>
      <w:r w:rsidRPr="00DA70A6">
        <w:rPr>
          <w:rFonts w:ascii="Arial Narrow" w:eastAsia="Calibri" w:hAnsi="Arial Narrow" w:cs="Arial"/>
        </w:rPr>
        <w:t>En el caso del poder legislativo y judicial, estos decidirán lo conducente de conformidad con sus disposiciones orgánicas.</w:t>
      </w:r>
    </w:p>
    <w:p w:rsidR="008F7F6A" w:rsidRPr="00DA70A6" w:rsidRDefault="008F7F6A" w:rsidP="008F7F6A">
      <w:pPr>
        <w:tabs>
          <w:tab w:val="left" w:pos="11057"/>
        </w:tabs>
        <w:spacing w:after="0" w:line="360" w:lineRule="auto"/>
        <w:ind w:right="49"/>
        <w:jc w:val="both"/>
        <w:rPr>
          <w:rFonts w:ascii="Arial Narrow" w:eastAsia="Calibri" w:hAnsi="Arial Narrow" w:cs="Arial"/>
        </w:rPr>
      </w:pPr>
    </w:p>
    <w:p w:rsidR="008F7F6A" w:rsidRPr="00DA70A6" w:rsidRDefault="008F7F6A" w:rsidP="008F7F6A">
      <w:pPr>
        <w:tabs>
          <w:tab w:val="left" w:pos="11057"/>
        </w:tabs>
        <w:spacing w:after="0" w:line="360" w:lineRule="auto"/>
        <w:ind w:right="49"/>
        <w:jc w:val="both"/>
        <w:rPr>
          <w:rFonts w:ascii="Arial Narrow" w:eastAsia="Calibri" w:hAnsi="Arial Narrow" w:cs="Arial"/>
        </w:rPr>
      </w:pPr>
      <w:r w:rsidRPr="00DA70A6">
        <w:rPr>
          <w:rFonts w:ascii="Arial Narrow" w:eastAsia="Calibri" w:hAnsi="Arial Narrow" w:cs="Arial"/>
          <w:spacing w:val="3"/>
        </w:rPr>
        <w:t xml:space="preserve">La coordinación y comunicación entre el Sujeto Obligado y la Autoridad de Mejora </w:t>
      </w:r>
      <w:r w:rsidRPr="00DA70A6">
        <w:rPr>
          <w:rFonts w:ascii="Arial Narrow" w:eastAsia="Calibri" w:hAnsi="Arial Narrow" w:cs="Arial"/>
          <w:w w:val="102"/>
        </w:rPr>
        <w:t xml:space="preserve">Regulatoria correspondiente se llevará a cabo a través del responsable oficial de mejora </w:t>
      </w:r>
      <w:r w:rsidRPr="00DA70A6">
        <w:rPr>
          <w:rFonts w:ascii="Arial Narrow" w:eastAsia="Calibri" w:hAnsi="Arial Narrow" w:cs="Arial"/>
        </w:rPr>
        <w:t>regulatoria.</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Capítulo II</w:t>
      </w:r>
    </w:p>
    <w:p w:rsidR="008F7F6A" w:rsidRPr="00DA70A6" w:rsidRDefault="008F7F6A" w:rsidP="008F7F6A">
      <w:pPr>
        <w:tabs>
          <w:tab w:val="left" w:pos="11057"/>
        </w:tabs>
        <w:spacing w:after="0" w:line="360" w:lineRule="auto"/>
        <w:ind w:right="49"/>
        <w:jc w:val="center"/>
        <w:rPr>
          <w:rFonts w:ascii="Arial Narrow" w:eastAsia="Calibri" w:hAnsi="Arial Narrow" w:cs="Arial"/>
          <w:b/>
        </w:rPr>
      </w:pPr>
      <w:r w:rsidRPr="00DA70A6">
        <w:rPr>
          <w:rFonts w:ascii="Arial Narrow" w:eastAsia="Calibri" w:hAnsi="Arial Narrow" w:cs="Arial"/>
          <w:b/>
        </w:rPr>
        <w:t>Del Consejo Estatal de Mejora Regulatoria</w:t>
      </w:r>
    </w:p>
    <w:p w:rsidR="008F7F6A" w:rsidRPr="00DA70A6" w:rsidRDefault="008F7F6A" w:rsidP="008F7F6A">
      <w:pPr>
        <w:tabs>
          <w:tab w:val="left" w:pos="11057"/>
        </w:tabs>
        <w:spacing w:after="0" w:line="360" w:lineRule="auto"/>
        <w:ind w:right="49"/>
        <w:jc w:val="center"/>
        <w:rPr>
          <w:rFonts w:ascii="Arial Narrow" w:eastAsia="Calibri" w:hAnsi="Arial Narrow" w:cs="Arial"/>
          <w:b/>
        </w:rPr>
      </w:pPr>
    </w:p>
    <w:p w:rsidR="008F7F6A" w:rsidRPr="00DA70A6" w:rsidRDefault="008F7F6A" w:rsidP="008F7F6A">
      <w:pPr>
        <w:tabs>
          <w:tab w:val="left" w:pos="11057"/>
        </w:tabs>
        <w:spacing w:after="0" w:line="360" w:lineRule="auto"/>
        <w:ind w:right="49"/>
        <w:jc w:val="both"/>
        <w:rPr>
          <w:rFonts w:ascii="Arial Narrow" w:eastAsia="Calibri" w:hAnsi="Arial Narrow" w:cs="Arial"/>
          <w:spacing w:val="-1"/>
        </w:rPr>
      </w:pPr>
      <w:r w:rsidRPr="00DA70A6">
        <w:rPr>
          <w:rFonts w:ascii="Arial Narrow" w:eastAsia="Calibri" w:hAnsi="Arial Narrow" w:cs="Arial"/>
          <w:b/>
          <w:w w:val="103"/>
        </w:rPr>
        <w:t>Artículo 15.</w:t>
      </w:r>
      <w:r w:rsidRPr="00DA70A6">
        <w:rPr>
          <w:rFonts w:ascii="Arial Narrow" w:eastAsia="Calibri" w:hAnsi="Arial Narrow" w:cs="Arial"/>
          <w:w w:val="103"/>
        </w:rPr>
        <w:t xml:space="preserve"> El Consejo Estatal es el órgano responsable de coordinar la política </w:t>
      </w:r>
      <w:r w:rsidRPr="00DA70A6">
        <w:rPr>
          <w:rFonts w:ascii="Arial Narrow" w:eastAsia="Calibri" w:hAnsi="Arial Narrow" w:cs="Arial"/>
          <w:w w:val="104"/>
        </w:rPr>
        <w:t xml:space="preserve">estatal en materia de mejora regulatoria y tendrá facultades para establecer las bases, </w:t>
      </w:r>
      <w:r w:rsidRPr="00DA70A6">
        <w:rPr>
          <w:rFonts w:ascii="Arial Narrow" w:eastAsia="Calibri" w:hAnsi="Arial Narrow" w:cs="Arial"/>
        </w:rPr>
        <w:t xml:space="preserve">principios y mecanismos para la efectiva coordinación en el ámbito estatal de la misma, para </w:t>
      </w:r>
      <w:r w:rsidRPr="00DA70A6">
        <w:rPr>
          <w:rFonts w:ascii="Arial Narrow" w:eastAsia="Calibri" w:hAnsi="Arial Narrow" w:cs="Arial"/>
          <w:w w:val="102"/>
        </w:rPr>
        <w:t xml:space="preserve">promover el uso de metodologías, instrumentos, programas y las </w:t>
      </w:r>
      <w:proofErr w:type="gramStart"/>
      <w:r w:rsidRPr="00DA70A6">
        <w:rPr>
          <w:rFonts w:ascii="Arial Narrow" w:eastAsia="Calibri" w:hAnsi="Arial Narrow" w:cs="Arial"/>
          <w:w w:val="102"/>
        </w:rPr>
        <w:t>buenas  prácticas</w:t>
      </w:r>
      <w:proofErr w:type="gramEnd"/>
      <w:r w:rsidRPr="00DA70A6">
        <w:rPr>
          <w:rFonts w:ascii="Arial Narrow" w:eastAsia="Calibri" w:hAnsi="Arial Narrow" w:cs="Arial"/>
          <w:w w:val="102"/>
        </w:rPr>
        <w:t xml:space="preserve"> </w:t>
      </w:r>
      <w:r w:rsidRPr="00DA70A6">
        <w:rPr>
          <w:rFonts w:ascii="Arial Narrow" w:eastAsia="Calibri" w:hAnsi="Arial Narrow" w:cs="Arial"/>
          <w:spacing w:val="-1"/>
        </w:rPr>
        <w:t xml:space="preserve">nacionales e internacionales en la materia; asimismo fungirá como órgano de vinculación con los sujetos obligados y con diversos sectores de la sociedad. Dicho Consejo estará integrado por: </w:t>
      </w:r>
    </w:p>
    <w:p w:rsidR="008F7F6A" w:rsidRPr="00DA70A6" w:rsidRDefault="008F7F6A" w:rsidP="00A25852">
      <w:pPr>
        <w:spacing w:after="0" w:line="360" w:lineRule="auto"/>
        <w:ind w:right="49"/>
        <w:jc w:val="both"/>
        <w:rPr>
          <w:rFonts w:ascii="Arial Narrow" w:eastAsia="Calibri" w:hAnsi="Arial Narrow" w:cs="Arial"/>
        </w:rPr>
      </w:pPr>
    </w:p>
    <w:p w:rsidR="008F7F6A" w:rsidRPr="00DA70A6" w:rsidRDefault="008F7F6A" w:rsidP="00A25852">
      <w:pPr>
        <w:numPr>
          <w:ilvl w:val="0"/>
          <w:numId w:val="15"/>
        </w:numPr>
        <w:spacing w:after="0" w:line="360" w:lineRule="auto"/>
        <w:ind w:right="49"/>
        <w:contextualSpacing/>
        <w:jc w:val="both"/>
        <w:rPr>
          <w:rFonts w:ascii="Arial Narrow" w:eastAsia="Times New Roman" w:hAnsi="Arial Narrow" w:cs="Arial"/>
          <w:spacing w:val="1"/>
          <w:lang w:eastAsia="es-ES"/>
        </w:rPr>
      </w:pPr>
      <w:r w:rsidRPr="00DA70A6">
        <w:rPr>
          <w:rFonts w:ascii="Arial Narrow" w:eastAsia="Times New Roman" w:hAnsi="Arial Narrow" w:cs="Arial"/>
          <w:spacing w:val="1"/>
          <w:lang w:eastAsia="es-ES"/>
        </w:rPr>
        <w:t>El Titular del Poder Ejecutivo Estatal, quien lo presidirá;</w:t>
      </w:r>
    </w:p>
    <w:p w:rsidR="008F7F6A" w:rsidRPr="00DA70A6" w:rsidRDefault="008F7F6A" w:rsidP="00A25852">
      <w:pPr>
        <w:numPr>
          <w:ilvl w:val="0"/>
          <w:numId w:val="15"/>
        </w:numPr>
        <w:spacing w:after="0" w:line="360" w:lineRule="auto"/>
        <w:ind w:right="49"/>
        <w:contextualSpacing/>
        <w:jc w:val="both"/>
        <w:rPr>
          <w:rFonts w:ascii="Arial Narrow" w:eastAsia="Times New Roman" w:hAnsi="Arial Narrow" w:cs="Arial"/>
          <w:spacing w:val="1"/>
          <w:lang w:eastAsia="es-ES"/>
        </w:rPr>
      </w:pPr>
      <w:r w:rsidRPr="00DA70A6">
        <w:rPr>
          <w:rFonts w:ascii="Arial Narrow" w:eastAsia="Times New Roman" w:hAnsi="Arial Narrow" w:cs="Arial"/>
          <w:spacing w:val="1"/>
          <w:lang w:eastAsia="es-ES"/>
        </w:rPr>
        <w:t>El Titular de la Secretaría de Economía, como Secretario Ejecutivo;</w:t>
      </w:r>
    </w:p>
    <w:p w:rsidR="008F7F6A" w:rsidRPr="00DA70A6" w:rsidRDefault="008F7F6A" w:rsidP="003243DB">
      <w:pPr>
        <w:numPr>
          <w:ilvl w:val="0"/>
          <w:numId w:val="15"/>
        </w:numPr>
        <w:spacing w:after="0" w:line="360" w:lineRule="auto"/>
        <w:ind w:right="49"/>
        <w:contextualSpacing/>
        <w:jc w:val="both"/>
        <w:rPr>
          <w:rFonts w:ascii="Arial Narrow" w:eastAsia="Times New Roman" w:hAnsi="Arial Narrow" w:cs="Arial"/>
          <w:spacing w:val="1"/>
          <w:lang w:eastAsia="es-ES"/>
        </w:rPr>
      </w:pPr>
      <w:r w:rsidRPr="00DA70A6">
        <w:rPr>
          <w:rFonts w:ascii="Arial Narrow" w:eastAsia="Times New Roman" w:hAnsi="Arial Narrow" w:cs="Arial"/>
          <w:spacing w:val="1"/>
          <w:lang w:eastAsia="es-ES"/>
        </w:rPr>
        <w:t>El Director General de Mejora Regulatoria y Competitividad, como Coordinador General;</w:t>
      </w:r>
    </w:p>
    <w:p w:rsidR="008F7F6A" w:rsidRPr="00DA70A6" w:rsidRDefault="008F7F6A" w:rsidP="00A25852">
      <w:pPr>
        <w:numPr>
          <w:ilvl w:val="0"/>
          <w:numId w:val="15"/>
        </w:numPr>
        <w:spacing w:after="0" w:line="360" w:lineRule="auto"/>
        <w:ind w:right="49"/>
        <w:contextualSpacing/>
        <w:jc w:val="both"/>
        <w:rPr>
          <w:rFonts w:ascii="Arial Narrow" w:eastAsia="Times New Roman" w:hAnsi="Arial Narrow" w:cs="Arial"/>
          <w:spacing w:val="1"/>
          <w:lang w:eastAsia="es-ES"/>
        </w:rPr>
      </w:pPr>
      <w:r w:rsidRPr="00DA70A6">
        <w:rPr>
          <w:rFonts w:ascii="Arial Narrow" w:eastAsia="Times New Roman" w:hAnsi="Arial Narrow" w:cs="Arial"/>
          <w:spacing w:val="1"/>
          <w:lang w:eastAsia="es-ES"/>
        </w:rPr>
        <w:t>Los siguientes vocales:</w:t>
      </w:r>
    </w:p>
    <w:p w:rsidR="008F7F6A" w:rsidRPr="00DA70A6" w:rsidRDefault="008F7F6A" w:rsidP="00A25852">
      <w:pPr>
        <w:spacing w:after="0" w:line="360" w:lineRule="auto"/>
        <w:ind w:left="720"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 Del Sector Público Estatal:</w:t>
      </w:r>
    </w:p>
    <w:p w:rsidR="008F7F6A" w:rsidRPr="00DA70A6" w:rsidRDefault="008F7F6A"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1. </w:t>
      </w:r>
      <w:r w:rsidR="00C309BD" w:rsidRPr="00DA70A6">
        <w:rPr>
          <w:rFonts w:ascii="Arial Narrow" w:eastAsia="Times New Roman" w:hAnsi="Arial Narrow" w:cs="Arial"/>
          <w:lang w:eastAsia="es-ES"/>
        </w:rPr>
        <w:tab/>
      </w:r>
      <w:r w:rsidRPr="00DA70A6">
        <w:rPr>
          <w:rFonts w:ascii="Arial Narrow" w:eastAsia="Times New Roman" w:hAnsi="Arial Narrow" w:cs="Arial"/>
          <w:spacing w:val="1"/>
          <w:lang w:eastAsia="es-ES"/>
        </w:rPr>
        <w:t>El Titular de la Secretaría de Gobierno;</w:t>
      </w:r>
    </w:p>
    <w:p w:rsidR="008F7F6A" w:rsidRPr="00DA70A6" w:rsidRDefault="008F7F6A"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2. </w:t>
      </w:r>
      <w:r w:rsidR="00C309BD" w:rsidRPr="00DA70A6">
        <w:rPr>
          <w:rFonts w:ascii="Arial Narrow" w:eastAsia="Times New Roman" w:hAnsi="Arial Narrow" w:cs="Arial"/>
          <w:lang w:eastAsia="es-ES"/>
        </w:rPr>
        <w:tab/>
      </w:r>
      <w:r w:rsidRPr="00DA70A6">
        <w:rPr>
          <w:rFonts w:ascii="Arial Narrow" w:eastAsia="Times New Roman" w:hAnsi="Arial Narrow" w:cs="Arial"/>
          <w:spacing w:val="1"/>
          <w:lang w:eastAsia="es-ES"/>
        </w:rPr>
        <w:t>El Titular de la Secretaría de Fiscalización y Rendición de Cuentas;</w:t>
      </w:r>
    </w:p>
    <w:p w:rsidR="008F7F6A" w:rsidRPr="00DA70A6" w:rsidRDefault="008F7F6A"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3. </w:t>
      </w:r>
      <w:r w:rsidR="00C309BD" w:rsidRPr="00DA70A6">
        <w:rPr>
          <w:rFonts w:ascii="Arial Narrow" w:eastAsia="Times New Roman" w:hAnsi="Arial Narrow" w:cs="Arial"/>
          <w:lang w:eastAsia="es-ES"/>
        </w:rPr>
        <w:tab/>
      </w:r>
      <w:r w:rsidRPr="00DA70A6">
        <w:rPr>
          <w:rFonts w:ascii="Arial Narrow" w:eastAsia="Times New Roman" w:hAnsi="Arial Narrow" w:cs="Arial"/>
          <w:spacing w:val="1"/>
          <w:lang w:eastAsia="es-ES"/>
        </w:rPr>
        <w:t>El Titular de la Secretaría de Finanzas</w:t>
      </w:r>
      <w:r w:rsidR="00C309BD" w:rsidRPr="00DA70A6">
        <w:rPr>
          <w:rFonts w:ascii="Arial Narrow" w:eastAsia="Times New Roman" w:hAnsi="Arial Narrow" w:cs="Arial"/>
          <w:spacing w:val="1"/>
          <w:lang w:eastAsia="es-ES"/>
        </w:rPr>
        <w:t>;</w:t>
      </w:r>
    </w:p>
    <w:p w:rsidR="008F7F6A" w:rsidRPr="00DA70A6" w:rsidRDefault="008F7F6A"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4. </w:t>
      </w:r>
      <w:r w:rsidR="00C309BD" w:rsidRPr="00DA70A6">
        <w:rPr>
          <w:rFonts w:ascii="Arial Narrow" w:eastAsia="Times New Roman" w:hAnsi="Arial Narrow" w:cs="Arial"/>
          <w:lang w:eastAsia="es-ES"/>
        </w:rPr>
        <w:tab/>
      </w:r>
      <w:r w:rsidRPr="00DA70A6">
        <w:rPr>
          <w:rFonts w:ascii="Arial Narrow" w:eastAsia="Times New Roman" w:hAnsi="Arial Narrow" w:cs="Arial"/>
          <w:spacing w:val="1"/>
          <w:lang w:eastAsia="es-ES"/>
        </w:rPr>
        <w:t>El Titular de la Secretaría de Medio Ambiente; y</w:t>
      </w:r>
    </w:p>
    <w:p w:rsidR="008F7F6A" w:rsidRPr="00DA70A6" w:rsidRDefault="008F7F6A" w:rsidP="003243DB">
      <w:pPr>
        <w:spacing w:after="0" w:line="360" w:lineRule="auto"/>
        <w:ind w:left="1418" w:right="51" w:hanging="426"/>
        <w:contextualSpacing/>
        <w:jc w:val="both"/>
        <w:rPr>
          <w:rFonts w:ascii="Arial Narrow" w:eastAsia="Times New Roman" w:hAnsi="Arial Narrow" w:cs="Arial"/>
          <w:lang w:eastAsia="es-ES"/>
        </w:rPr>
      </w:pPr>
      <w:proofErr w:type="gramStart"/>
      <w:r w:rsidRPr="00DA70A6">
        <w:rPr>
          <w:rFonts w:ascii="Arial Narrow" w:eastAsia="Times New Roman" w:hAnsi="Arial Narrow" w:cs="Arial"/>
          <w:lang w:eastAsia="es-ES"/>
        </w:rPr>
        <w:t>5. .</w:t>
      </w:r>
      <w:proofErr w:type="gramEnd"/>
      <w:r w:rsidR="00C309BD" w:rsidRPr="00DA70A6">
        <w:rPr>
          <w:rFonts w:ascii="Arial Narrow" w:eastAsia="Times New Roman" w:hAnsi="Arial Narrow" w:cs="Arial"/>
          <w:lang w:eastAsia="es-ES"/>
        </w:rPr>
        <w:tab/>
      </w:r>
      <w:r w:rsidRPr="00DA70A6">
        <w:rPr>
          <w:rFonts w:ascii="Arial Narrow" w:eastAsia="Times New Roman" w:hAnsi="Arial Narrow" w:cs="Arial"/>
          <w:lang w:eastAsia="es-ES"/>
        </w:rPr>
        <w:t>El Titular de la Secretaría de Infraestructura, Desarrollo Urbano y Movilidad</w:t>
      </w:r>
      <w:r w:rsidR="00C309BD" w:rsidRPr="00DA70A6">
        <w:rPr>
          <w:rFonts w:ascii="Arial Narrow" w:eastAsia="Times New Roman" w:hAnsi="Arial Narrow" w:cs="Arial"/>
          <w:lang w:eastAsia="es-ES"/>
        </w:rPr>
        <w:t>.</w:t>
      </w:r>
    </w:p>
    <w:p w:rsidR="008F7F6A" w:rsidRPr="00DA70A6" w:rsidRDefault="008F7F6A" w:rsidP="00A25852">
      <w:pPr>
        <w:spacing w:after="0" w:line="360" w:lineRule="auto"/>
        <w:ind w:left="709" w:right="49"/>
        <w:jc w:val="both"/>
        <w:rPr>
          <w:rFonts w:ascii="Arial Narrow" w:eastAsia="Calibri" w:hAnsi="Arial Narrow" w:cs="Arial"/>
          <w:spacing w:val="1"/>
        </w:rPr>
      </w:pPr>
      <w:r w:rsidRPr="00DA70A6">
        <w:rPr>
          <w:rFonts w:ascii="Arial Narrow" w:eastAsia="Calibri" w:hAnsi="Arial Narrow" w:cs="Arial"/>
          <w:spacing w:val="1"/>
        </w:rPr>
        <w:t>B. Del Sector Público Federal:</w:t>
      </w:r>
    </w:p>
    <w:p w:rsidR="008F7F6A" w:rsidRPr="00DA70A6" w:rsidRDefault="00C309BD"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1</w:t>
      </w:r>
      <w:r w:rsidR="008F7F6A" w:rsidRPr="00DA70A6">
        <w:rPr>
          <w:rFonts w:ascii="Arial Narrow" w:eastAsia="Times New Roman" w:hAnsi="Arial Narrow" w:cs="Arial"/>
          <w:lang w:eastAsia="es-ES"/>
        </w:rPr>
        <w:t xml:space="preserve">. </w:t>
      </w:r>
      <w:r w:rsidR="003243DB" w:rsidRPr="00DA70A6">
        <w:rPr>
          <w:rFonts w:ascii="Arial Narrow" w:eastAsia="Times New Roman" w:hAnsi="Arial Narrow" w:cs="Arial"/>
          <w:lang w:eastAsia="es-ES"/>
        </w:rPr>
        <w:tab/>
      </w:r>
      <w:r w:rsidR="008F7F6A" w:rsidRPr="00DA70A6">
        <w:rPr>
          <w:rFonts w:ascii="Arial Narrow" w:eastAsia="Times New Roman" w:hAnsi="Arial Narrow" w:cs="Arial"/>
          <w:lang w:eastAsia="es-ES"/>
        </w:rPr>
        <w:t>El Comisionado Nacional de Mejora Regulatoria.</w:t>
      </w:r>
    </w:p>
    <w:p w:rsidR="008F7F6A" w:rsidRPr="00DA70A6" w:rsidRDefault="008F7F6A" w:rsidP="00A25852">
      <w:pPr>
        <w:spacing w:after="0" w:line="360" w:lineRule="auto"/>
        <w:ind w:left="709" w:right="49"/>
        <w:jc w:val="both"/>
        <w:rPr>
          <w:rFonts w:ascii="Arial Narrow" w:eastAsia="Calibri" w:hAnsi="Arial Narrow" w:cs="Arial"/>
        </w:rPr>
      </w:pPr>
      <w:r w:rsidRPr="00DA70A6">
        <w:rPr>
          <w:rFonts w:ascii="Arial Narrow" w:eastAsia="Calibri" w:hAnsi="Arial Narrow" w:cs="Arial"/>
        </w:rPr>
        <w:t>C. Del Poder Legislativo:</w:t>
      </w:r>
    </w:p>
    <w:p w:rsidR="008F7F6A" w:rsidRPr="00DA70A6" w:rsidRDefault="00C309BD"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1</w:t>
      </w:r>
      <w:r w:rsidR="008F7F6A" w:rsidRPr="00DA70A6">
        <w:rPr>
          <w:rFonts w:ascii="Arial Narrow" w:eastAsia="Times New Roman" w:hAnsi="Arial Narrow" w:cs="Arial"/>
          <w:lang w:eastAsia="es-ES"/>
        </w:rPr>
        <w:t xml:space="preserve">. </w:t>
      </w:r>
      <w:r w:rsidR="003243DB" w:rsidRPr="00DA70A6">
        <w:rPr>
          <w:rFonts w:ascii="Arial Narrow" w:eastAsia="Times New Roman" w:hAnsi="Arial Narrow" w:cs="Arial"/>
          <w:lang w:eastAsia="es-ES"/>
        </w:rPr>
        <w:tab/>
      </w:r>
      <w:r w:rsidR="008F7F6A" w:rsidRPr="00DA70A6">
        <w:rPr>
          <w:rFonts w:ascii="Arial Narrow" w:eastAsia="Times New Roman" w:hAnsi="Arial Narrow" w:cs="Arial"/>
          <w:lang w:eastAsia="es-ES"/>
        </w:rPr>
        <w:t>El Coordinador de la Comisión de Desarrollo Económico, Competitividad y Turismo de la Legislatura Local.</w:t>
      </w:r>
    </w:p>
    <w:p w:rsidR="008F7F6A" w:rsidRPr="00DA70A6" w:rsidRDefault="008F7F6A" w:rsidP="00A25852">
      <w:pPr>
        <w:spacing w:after="0" w:line="360" w:lineRule="auto"/>
        <w:ind w:left="1843" w:right="49" w:hanging="1134"/>
        <w:jc w:val="both"/>
        <w:rPr>
          <w:rFonts w:ascii="Arial Narrow" w:eastAsia="Calibri" w:hAnsi="Arial Narrow" w:cs="Arial"/>
        </w:rPr>
      </w:pPr>
      <w:r w:rsidRPr="00DA70A6">
        <w:rPr>
          <w:rFonts w:ascii="Arial Narrow" w:eastAsia="Calibri" w:hAnsi="Arial Narrow" w:cs="Arial"/>
        </w:rPr>
        <w:t>D. Del Sector Empresarial:</w:t>
      </w:r>
    </w:p>
    <w:p w:rsidR="008F7F6A" w:rsidRPr="00DA70A6" w:rsidRDefault="00C309BD" w:rsidP="003243DB">
      <w:pPr>
        <w:spacing w:after="0" w:line="360" w:lineRule="auto"/>
        <w:ind w:left="1418" w:right="51" w:hanging="426"/>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1</w:t>
      </w:r>
      <w:r w:rsidR="008F7F6A" w:rsidRPr="00DA70A6">
        <w:rPr>
          <w:rFonts w:ascii="Arial Narrow" w:eastAsia="Times New Roman" w:hAnsi="Arial Narrow" w:cs="Arial"/>
          <w:lang w:eastAsia="es-ES"/>
        </w:rPr>
        <w:t xml:space="preserve">. </w:t>
      </w:r>
      <w:r w:rsidR="003243DB" w:rsidRPr="00DA70A6">
        <w:rPr>
          <w:rFonts w:ascii="Arial Narrow" w:eastAsia="Times New Roman" w:hAnsi="Arial Narrow" w:cs="Arial"/>
          <w:lang w:eastAsia="es-ES"/>
        </w:rPr>
        <w:tab/>
      </w:r>
      <w:r w:rsidR="008F7F6A" w:rsidRPr="00DA70A6">
        <w:rPr>
          <w:rFonts w:ascii="Arial Narrow" w:eastAsia="Times New Roman" w:hAnsi="Arial Narrow" w:cs="Arial"/>
          <w:lang w:eastAsia="es-ES"/>
        </w:rPr>
        <w:t>Un representante del sector empresarial por cada región de la entidad.</w:t>
      </w:r>
    </w:p>
    <w:p w:rsidR="008F7F6A" w:rsidRPr="00DA70A6" w:rsidRDefault="008F7F6A" w:rsidP="008F7F6A">
      <w:pPr>
        <w:tabs>
          <w:tab w:val="left" w:pos="567"/>
          <w:tab w:val="left" w:pos="11057"/>
        </w:tabs>
        <w:spacing w:after="0" w:line="360" w:lineRule="auto"/>
        <w:ind w:left="1843" w:right="49"/>
        <w:contextualSpacing/>
        <w:jc w:val="both"/>
        <w:rPr>
          <w:rFonts w:ascii="Arial Narrow" w:eastAsia="Times New Roman" w:hAnsi="Arial Narrow" w:cs="Arial"/>
          <w:lang w:eastAsia="es-ES"/>
        </w:rPr>
      </w:pPr>
    </w:p>
    <w:p w:rsidR="008F7F6A" w:rsidRPr="00DA70A6" w:rsidRDefault="008F7F6A" w:rsidP="008F7F6A">
      <w:pPr>
        <w:spacing w:after="0" w:line="360" w:lineRule="auto"/>
        <w:jc w:val="both"/>
        <w:rPr>
          <w:rFonts w:ascii="Arial Narrow" w:eastAsia="Calibri" w:hAnsi="Arial Narrow" w:cs="Arial"/>
          <w:spacing w:val="-1"/>
        </w:rPr>
      </w:pPr>
      <w:r w:rsidRPr="00DA70A6">
        <w:rPr>
          <w:rFonts w:ascii="Arial Narrow" w:eastAsia="Calibri" w:hAnsi="Arial Narrow" w:cs="Arial"/>
          <w:b/>
          <w:spacing w:val="-1"/>
        </w:rPr>
        <w:t>Artículo 16.</w:t>
      </w:r>
      <w:r w:rsidRPr="00DA70A6">
        <w:rPr>
          <w:rFonts w:ascii="Arial Narrow" w:eastAsia="Calibri" w:hAnsi="Arial Narrow" w:cs="Arial"/>
          <w:spacing w:val="-1"/>
        </w:rPr>
        <w:t xml:space="preserve"> Serán invitados permanentes del Consejo Estatal y podrán participar con voz, pero sin voto:</w:t>
      </w:r>
    </w:p>
    <w:p w:rsidR="003243DB" w:rsidRPr="00DA70A6" w:rsidRDefault="003243DB" w:rsidP="008F7F6A">
      <w:pPr>
        <w:spacing w:after="0" w:line="360" w:lineRule="auto"/>
        <w:jc w:val="both"/>
        <w:rPr>
          <w:rFonts w:ascii="Arial Narrow" w:eastAsia="Calibri" w:hAnsi="Arial Narrow" w:cs="Arial"/>
        </w:rPr>
      </w:pPr>
    </w:p>
    <w:p w:rsidR="008F7F6A" w:rsidRPr="00DA70A6" w:rsidRDefault="008F7F6A" w:rsidP="00173F69">
      <w:pPr>
        <w:numPr>
          <w:ilvl w:val="0"/>
          <w:numId w:val="18"/>
        </w:numPr>
        <w:spacing w:after="0" w:line="360" w:lineRule="auto"/>
        <w:ind w:left="714"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Comisionado Presidente del Instituto Coahuilense de Acceso a la Información Pública;</w:t>
      </w:r>
    </w:p>
    <w:p w:rsidR="008F7F6A" w:rsidRPr="00DA70A6" w:rsidRDefault="008F7F6A" w:rsidP="00173F69">
      <w:pPr>
        <w:numPr>
          <w:ilvl w:val="0"/>
          <w:numId w:val="18"/>
        </w:numPr>
        <w:spacing w:after="0" w:line="360" w:lineRule="auto"/>
        <w:ind w:left="714"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Presidente del Consejo de Participación Ciudadana del Sistema Estatal Anticorrupción</w:t>
      </w:r>
      <w:r w:rsidR="00173F69" w:rsidRPr="00DA70A6">
        <w:rPr>
          <w:rFonts w:ascii="Arial Narrow" w:eastAsia="Times New Roman" w:hAnsi="Arial Narrow" w:cs="Arial"/>
          <w:lang w:eastAsia="es-ES"/>
        </w:rPr>
        <w:t xml:space="preserve">; </w:t>
      </w:r>
    </w:p>
    <w:p w:rsidR="008F7F6A" w:rsidRPr="00DA70A6" w:rsidRDefault="008F7F6A" w:rsidP="00173F69">
      <w:pPr>
        <w:numPr>
          <w:ilvl w:val="0"/>
          <w:numId w:val="18"/>
        </w:numPr>
        <w:spacing w:after="0" w:line="360" w:lineRule="auto"/>
        <w:ind w:left="714"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Un Representante del Observatorio Nacional de Mejora Regulatoria</w:t>
      </w:r>
      <w:r w:rsidR="00173F69" w:rsidRPr="00DA70A6">
        <w:rPr>
          <w:rFonts w:ascii="Arial Narrow" w:eastAsia="Times New Roman" w:hAnsi="Arial Narrow" w:cs="Arial"/>
          <w:lang w:eastAsia="es-ES"/>
        </w:rPr>
        <w:t>;</w:t>
      </w:r>
      <w:r w:rsidRPr="00DA70A6">
        <w:rPr>
          <w:rFonts w:ascii="Arial Narrow" w:eastAsia="Times New Roman" w:hAnsi="Arial Narrow" w:cs="Arial"/>
          <w:lang w:eastAsia="es-ES"/>
        </w:rPr>
        <w:t xml:space="preserve"> y</w:t>
      </w:r>
    </w:p>
    <w:p w:rsidR="008F7F6A" w:rsidRPr="00DA70A6" w:rsidRDefault="008F7F6A" w:rsidP="00173F69">
      <w:pPr>
        <w:numPr>
          <w:ilvl w:val="0"/>
          <w:numId w:val="18"/>
        </w:numPr>
        <w:spacing w:after="0" w:line="360" w:lineRule="auto"/>
        <w:ind w:left="714"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Un representante de los Municipios.</w:t>
      </w:r>
    </w:p>
    <w:p w:rsidR="008F7F6A" w:rsidRPr="00DA70A6" w:rsidRDefault="008F7F6A" w:rsidP="008F7F6A">
      <w:pPr>
        <w:tabs>
          <w:tab w:val="left" w:pos="426"/>
        </w:tabs>
        <w:spacing w:after="0" w:line="360" w:lineRule="auto"/>
        <w:ind w:left="720"/>
        <w:contextualSpacing/>
        <w:jc w:val="both"/>
        <w:rPr>
          <w:rFonts w:ascii="Arial Narrow" w:eastAsia="Times New Roman" w:hAnsi="Arial Narrow" w:cs="Arial"/>
          <w:lang w:eastAsia="es-ES"/>
        </w:rPr>
      </w:pPr>
    </w:p>
    <w:p w:rsidR="008F7F6A" w:rsidRPr="00DA70A6" w:rsidRDefault="008F7F6A" w:rsidP="008F7F6A">
      <w:pPr>
        <w:spacing w:after="0" w:line="360" w:lineRule="auto"/>
        <w:jc w:val="both"/>
        <w:rPr>
          <w:rFonts w:ascii="Arial Narrow" w:eastAsia="Calibri" w:hAnsi="Arial Narrow" w:cs="Arial"/>
        </w:rPr>
      </w:pPr>
      <w:r w:rsidRPr="00DA70A6">
        <w:rPr>
          <w:rFonts w:ascii="Arial Narrow" w:eastAsia="Calibri" w:hAnsi="Arial Narrow" w:cs="Arial"/>
          <w:b/>
          <w:spacing w:val="1"/>
        </w:rPr>
        <w:t>Artículo 17.</w:t>
      </w:r>
      <w:r w:rsidRPr="00DA70A6">
        <w:rPr>
          <w:rFonts w:ascii="Arial Narrow" w:eastAsia="Calibri" w:hAnsi="Arial Narrow" w:cs="Arial"/>
          <w:spacing w:val="1"/>
        </w:rPr>
        <w:t xml:space="preserve"> Serán invitados especiales del Consejo Estatal y podrán participar con </w:t>
      </w:r>
      <w:r w:rsidRPr="00DA70A6">
        <w:rPr>
          <w:rFonts w:ascii="Arial Narrow" w:eastAsia="Calibri" w:hAnsi="Arial Narrow" w:cs="Arial"/>
        </w:rPr>
        <w:t>voz, pero sin voto:</w:t>
      </w:r>
    </w:p>
    <w:p w:rsidR="008F7F6A" w:rsidRPr="00DA70A6" w:rsidRDefault="008F7F6A" w:rsidP="008F7F6A">
      <w:pPr>
        <w:spacing w:after="0" w:line="360" w:lineRule="auto"/>
        <w:jc w:val="both"/>
        <w:rPr>
          <w:rFonts w:ascii="Arial Narrow" w:eastAsia="Calibri" w:hAnsi="Arial Narrow" w:cs="Arial"/>
        </w:rPr>
      </w:pPr>
    </w:p>
    <w:p w:rsidR="008F7F6A" w:rsidRPr="00DA70A6" w:rsidRDefault="008F7F6A" w:rsidP="008F7F6A">
      <w:pPr>
        <w:numPr>
          <w:ilvl w:val="0"/>
          <w:numId w:val="19"/>
        </w:numPr>
        <w:tabs>
          <w:tab w:val="left" w:pos="709"/>
        </w:tabs>
        <w:spacing w:after="0" w:line="360" w:lineRule="auto"/>
        <w:ind w:left="709"/>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Representantes de confederaciones, cámaras y asociaciones empresariales, </w:t>
      </w:r>
      <w:r w:rsidRPr="00DA70A6">
        <w:rPr>
          <w:rFonts w:ascii="Arial Narrow" w:eastAsia="Times New Roman" w:hAnsi="Arial Narrow" w:cs="Arial"/>
          <w:lang w:eastAsia="es-ES"/>
        </w:rPr>
        <w:t>colegios, barras y asociaciones de profesionistas;</w:t>
      </w:r>
    </w:p>
    <w:p w:rsidR="008F7F6A" w:rsidRPr="00DA70A6" w:rsidRDefault="008F7F6A" w:rsidP="008F7F6A">
      <w:pPr>
        <w:numPr>
          <w:ilvl w:val="0"/>
          <w:numId w:val="19"/>
        </w:numPr>
        <w:tabs>
          <w:tab w:val="left" w:pos="709"/>
        </w:tabs>
        <w:spacing w:after="0" w:line="360" w:lineRule="auto"/>
        <w:ind w:left="709"/>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Representantes de organizaciones y asociaciones de la sociedad civil, así </w:t>
      </w:r>
      <w:r w:rsidRPr="00DA70A6">
        <w:rPr>
          <w:rFonts w:ascii="Arial Narrow" w:eastAsia="Times New Roman" w:hAnsi="Arial Narrow" w:cs="Arial"/>
          <w:lang w:eastAsia="es-ES"/>
        </w:rPr>
        <w:t>como organizaciones de consumidores</w:t>
      </w:r>
      <w:r w:rsidR="00173F69" w:rsidRPr="00DA70A6">
        <w:rPr>
          <w:rFonts w:ascii="Arial Narrow" w:eastAsia="Times New Roman" w:hAnsi="Arial Narrow" w:cs="Arial"/>
          <w:lang w:eastAsia="es-ES"/>
        </w:rPr>
        <w:t>;</w:t>
      </w:r>
      <w:r w:rsidRPr="00DA70A6">
        <w:rPr>
          <w:rFonts w:ascii="Arial Narrow" w:eastAsia="Times New Roman" w:hAnsi="Arial Narrow" w:cs="Arial"/>
          <w:lang w:eastAsia="es-ES"/>
        </w:rPr>
        <w:t xml:space="preserve"> y</w:t>
      </w:r>
    </w:p>
    <w:p w:rsidR="008F7F6A" w:rsidRPr="00DA70A6" w:rsidRDefault="008F7F6A" w:rsidP="008F7F6A">
      <w:pPr>
        <w:numPr>
          <w:ilvl w:val="0"/>
          <w:numId w:val="19"/>
        </w:numPr>
        <w:tabs>
          <w:tab w:val="left" w:pos="709"/>
        </w:tabs>
        <w:spacing w:after="0" w:line="360" w:lineRule="auto"/>
        <w:ind w:left="70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Académicos especialistas en materias afines.</w:t>
      </w:r>
    </w:p>
    <w:p w:rsidR="008F7F6A" w:rsidRPr="00DA70A6" w:rsidRDefault="008F7F6A" w:rsidP="008F7F6A">
      <w:pPr>
        <w:tabs>
          <w:tab w:val="left" w:pos="709"/>
        </w:tabs>
        <w:spacing w:after="0" w:line="360" w:lineRule="auto"/>
        <w:ind w:left="709"/>
        <w:contextualSpacing/>
        <w:jc w:val="both"/>
        <w:rPr>
          <w:rFonts w:ascii="Arial Narrow" w:eastAsia="Times New Roman" w:hAnsi="Arial Narrow" w:cs="Arial"/>
          <w:lang w:eastAsia="es-ES"/>
        </w:rPr>
      </w:pPr>
    </w:p>
    <w:p w:rsidR="008F7F6A" w:rsidRPr="00DA70A6" w:rsidRDefault="008F7F6A" w:rsidP="008F7F6A">
      <w:pPr>
        <w:tabs>
          <w:tab w:val="left" w:pos="426"/>
        </w:tabs>
        <w:spacing w:after="0" w:line="360" w:lineRule="auto"/>
        <w:jc w:val="both"/>
        <w:rPr>
          <w:rFonts w:ascii="Arial Narrow" w:eastAsia="Calibri" w:hAnsi="Arial Narrow" w:cs="Arial"/>
        </w:rPr>
      </w:pPr>
      <w:r w:rsidRPr="00DA70A6">
        <w:rPr>
          <w:rFonts w:ascii="Arial Narrow" w:eastAsia="Calibri" w:hAnsi="Arial Narrow" w:cs="Arial"/>
          <w:b/>
        </w:rPr>
        <w:t>Artículo 18.</w:t>
      </w:r>
      <w:r w:rsidRPr="00DA70A6">
        <w:rPr>
          <w:rFonts w:ascii="Arial Narrow" w:eastAsia="Calibri" w:hAnsi="Arial Narrow" w:cs="Arial"/>
        </w:rPr>
        <w:t xml:space="preserve"> El Consejo Estatal tendrá las siguientes atribuciones:</w:t>
      </w:r>
    </w:p>
    <w:p w:rsidR="008F7F6A" w:rsidRPr="00DA70A6" w:rsidRDefault="008F7F6A" w:rsidP="008F7F6A">
      <w:pPr>
        <w:tabs>
          <w:tab w:val="left" w:pos="426"/>
        </w:tabs>
        <w:spacing w:after="0" w:line="360" w:lineRule="auto"/>
        <w:jc w:val="both"/>
        <w:rPr>
          <w:rFonts w:ascii="Arial Narrow" w:eastAsia="Calibri" w:hAnsi="Arial Narrow" w:cs="Arial"/>
        </w:rPr>
      </w:pP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 </w:t>
      </w:r>
      <w:r w:rsidRPr="00DA70A6">
        <w:rPr>
          <w:rFonts w:ascii="Arial Narrow" w:eastAsia="Times New Roman" w:hAnsi="Arial Narrow" w:cs="Arial"/>
          <w:w w:val="106"/>
          <w:lang w:eastAsia="es-ES"/>
        </w:rPr>
        <w:t xml:space="preserve">Conocer e implementar en el ámbito de sus competencias la Estrategia </w:t>
      </w:r>
      <w:r w:rsidRPr="00DA70A6">
        <w:rPr>
          <w:rFonts w:ascii="Arial Narrow" w:eastAsia="Times New Roman" w:hAnsi="Arial Narrow" w:cs="Arial"/>
          <w:spacing w:val="2"/>
          <w:lang w:eastAsia="es-ES"/>
        </w:rPr>
        <w:t xml:space="preserve">Nacional de mejora regulatoria aprobada previamente por el Consejo Nacional y la </w:t>
      </w:r>
      <w:r w:rsidRPr="00DA70A6">
        <w:rPr>
          <w:rFonts w:ascii="Arial Narrow" w:eastAsia="Times New Roman" w:hAnsi="Arial Narrow" w:cs="Arial"/>
          <w:spacing w:val="1"/>
          <w:lang w:eastAsia="es-ES"/>
        </w:rPr>
        <w:t xml:space="preserve">formulación, desarrollo e implementación de la Estrategia Estatal y la política en materia de mejora regulatoria estableciendo para tal efecto directrices, bases, instrumentos, </w:t>
      </w:r>
      <w:r w:rsidR="00173F69" w:rsidRPr="00DA70A6">
        <w:rPr>
          <w:rFonts w:ascii="Arial Narrow" w:eastAsia="Times New Roman" w:hAnsi="Arial Narrow" w:cs="Arial"/>
          <w:lang w:eastAsia="es-ES"/>
        </w:rPr>
        <w:t>lineamientos y mecanismos;</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t xml:space="preserve">Aprobar la Agenda Estatal de Mejora Regulatoria que presente la Secretaría </w:t>
      </w:r>
      <w:r w:rsidRPr="00DA70A6">
        <w:rPr>
          <w:rFonts w:ascii="Arial Narrow" w:eastAsia="Times New Roman" w:hAnsi="Arial Narrow" w:cs="Arial"/>
          <w:lang w:eastAsia="es-ES"/>
        </w:rPr>
        <w:t>para tal efecto;</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4"/>
          <w:lang w:eastAsia="es-ES"/>
        </w:rPr>
        <w:t xml:space="preserve">Determinar los mecanismos de suministro, intercambio, sistematización y </w:t>
      </w:r>
      <w:r w:rsidRPr="00DA70A6">
        <w:rPr>
          <w:rFonts w:ascii="Arial Narrow" w:eastAsia="Times New Roman" w:hAnsi="Arial Narrow" w:cs="Arial"/>
          <w:spacing w:val="1"/>
          <w:lang w:eastAsia="es-ES"/>
        </w:rPr>
        <w:t>actualización de la información que sobre esta materia generen los Sujetos Obligados y las Autoridades de Mejora Regulatoria;</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5"/>
          <w:lang w:eastAsia="es-ES"/>
        </w:rPr>
        <w:t xml:space="preserve">Conocer, analizar y atender los resultados de las encuestas, información </w:t>
      </w:r>
      <w:r w:rsidRPr="00DA70A6">
        <w:rPr>
          <w:rFonts w:ascii="Arial Narrow" w:eastAsia="Times New Roman" w:hAnsi="Arial Narrow" w:cs="Arial"/>
          <w:lang w:eastAsia="es-ES"/>
        </w:rPr>
        <w:t>estadística y evaluación en materia de Mejora Regulatoria;</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Aprobar, a propuesta de la Secretaría, los indicadores que las </w:t>
      </w:r>
      <w:r w:rsidRPr="00DA70A6">
        <w:rPr>
          <w:rFonts w:ascii="Arial Narrow" w:eastAsia="Times New Roman" w:hAnsi="Arial Narrow" w:cs="Arial"/>
          <w:w w:val="106"/>
          <w:lang w:eastAsia="es-ES"/>
        </w:rPr>
        <w:t xml:space="preserve">Autoridades de Mejora Regulatoria y los Sujetos Obligados, deberán observar para la </w:t>
      </w:r>
      <w:r w:rsidRPr="00DA70A6">
        <w:rPr>
          <w:rFonts w:ascii="Arial Narrow" w:eastAsia="Times New Roman" w:hAnsi="Arial Narrow" w:cs="Arial"/>
          <w:spacing w:val="-2"/>
          <w:lang w:eastAsia="es-ES"/>
        </w:rPr>
        <w:t>evaluación y medición de los resultados de la política estatal de mejora regulatoria incluyendo la simplificación de Trámites y Servicios del ámbito estatal;</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5"/>
          <w:lang w:eastAsia="es-ES"/>
        </w:rPr>
        <w:lastRenderedPageBreak/>
        <w:t xml:space="preserve">Conocer y opinar sobre la evaluación de resultados a la que se refiere la </w:t>
      </w:r>
      <w:r w:rsidRPr="00DA70A6">
        <w:rPr>
          <w:rFonts w:ascii="Arial Narrow" w:eastAsia="Times New Roman" w:hAnsi="Arial Narrow" w:cs="Arial"/>
          <w:lang w:eastAsia="es-ES"/>
        </w:rPr>
        <w:t>fracción anterior, que presente la Secretaría;</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Promover el uso de principios, objetivos, metodologías, instrumentos, </w:t>
      </w:r>
      <w:r w:rsidRPr="00DA70A6">
        <w:rPr>
          <w:rFonts w:ascii="Arial Narrow" w:eastAsia="Times New Roman" w:hAnsi="Arial Narrow" w:cs="Arial"/>
          <w:spacing w:val="1"/>
          <w:lang w:eastAsia="es-ES"/>
        </w:rPr>
        <w:t>programas, criterios y herramientas acordes con las buenas prácticas estatales, nacionales e internacionales en materia de mejora regulatoria;</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 xml:space="preserve">Conocer problemáticas, obstáculos y fallos regulatorios que impidan el </w:t>
      </w:r>
      <w:r w:rsidRPr="00DA70A6">
        <w:rPr>
          <w:rFonts w:ascii="Arial Narrow" w:eastAsia="Times New Roman" w:hAnsi="Arial Narrow" w:cs="Arial"/>
          <w:lang w:eastAsia="es-ES"/>
        </w:rPr>
        <w:t>cumplimiento del objeto de la presente Ley y proponer alternativas de solución;</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Emitir recomendaciones a los Sujetos Obligados, para el debido cumplimiento de las disposiciones de esta Ley;</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Conocer, analizar y emitir recomendaciones derivadas de las propuestas que emita el Observatorio;</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w w:val="107"/>
          <w:lang w:eastAsia="es-ES"/>
        </w:rPr>
        <w:t xml:space="preserve">Aprobar, a propuesta de la Secretaría, el Reglamento Interior del </w:t>
      </w:r>
      <w:r w:rsidRPr="00DA70A6">
        <w:rPr>
          <w:rFonts w:ascii="Arial Narrow" w:eastAsia="Times New Roman" w:hAnsi="Arial Narrow" w:cs="Arial"/>
          <w:lang w:eastAsia="es-ES"/>
        </w:rPr>
        <w:t>Consejo Estatal</w:t>
      </w:r>
      <w:r w:rsidR="00173F69" w:rsidRPr="00DA70A6">
        <w:rPr>
          <w:rFonts w:ascii="Arial Narrow" w:eastAsia="Times New Roman" w:hAnsi="Arial Narrow" w:cs="Arial"/>
          <w:lang w:eastAsia="es-ES"/>
        </w:rPr>
        <w:t>;</w:t>
      </w:r>
      <w:r w:rsidRPr="00DA70A6">
        <w:rPr>
          <w:rFonts w:ascii="Arial Narrow" w:eastAsia="Times New Roman" w:hAnsi="Arial Narrow" w:cs="Arial"/>
          <w:lang w:eastAsia="es-ES"/>
        </w:rPr>
        <w:t xml:space="preserve"> y</w:t>
      </w:r>
    </w:p>
    <w:p w:rsidR="008F7F6A" w:rsidRPr="00DA70A6" w:rsidRDefault="008F7F6A" w:rsidP="00173F69">
      <w:pPr>
        <w:numPr>
          <w:ilvl w:val="0"/>
          <w:numId w:val="20"/>
        </w:numPr>
        <w:spacing w:after="0" w:line="360" w:lineRule="auto"/>
        <w:ind w:left="714" w:right="51" w:hanging="357"/>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establezcan esta Ley u otras disposiciones aplicables.</w:t>
      </w:r>
    </w:p>
    <w:p w:rsidR="008F7F6A" w:rsidRPr="00DA70A6" w:rsidRDefault="008F7F6A" w:rsidP="008F7F6A">
      <w:pPr>
        <w:tabs>
          <w:tab w:val="left" w:pos="2976"/>
        </w:tabs>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spacing w:val="3"/>
        </w:rPr>
        <w:t>Artículo 19.</w:t>
      </w:r>
      <w:r w:rsidRPr="00DA70A6">
        <w:rPr>
          <w:rFonts w:ascii="Arial Narrow" w:eastAsia="Calibri" w:hAnsi="Arial Narrow" w:cs="Arial"/>
          <w:spacing w:val="3"/>
        </w:rPr>
        <w:t xml:space="preserve"> Los integrantes señalados en el artículo 15 de la presente ley podrán </w:t>
      </w:r>
      <w:r w:rsidRPr="00DA70A6">
        <w:rPr>
          <w:rFonts w:ascii="Arial Narrow" w:eastAsia="Calibri" w:hAnsi="Arial Narrow" w:cs="Arial"/>
          <w:w w:val="102"/>
        </w:rPr>
        <w:t xml:space="preserve">nombrar a un suplente con derecho a voz y voto. Tratándose de las fracciones I, II, III, incisos A y B de la fracción IV, deberá ser de nivel jerárquico inmediato inferior, y </w:t>
      </w:r>
      <w:r w:rsidRPr="00DA70A6">
        <w:rPr>
          <w:rFonts w:ascii="Arial Narrow" w:eastAsia="Calibri" w:hAnsi="Arial Narrow" w:cs="Arial"/>
        </w:rPr>
        <w:t>tendrá derecho a voz y voto.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w w:val="103"/>
        </w:rPr>
        <w:t>Artículo 20.</w:t>
      </w:r>
      <w:r w:rsidRPr="00DA70A6">
        <w:rPr>
          <w:rFonts w:ascii="Arial Narrow" w:eastAsia="Calibri" w:hAnsi="Arial Narrow" w:cs="Arial"/>
          <w:w w:val="103"/>
        </w:rPr>
        <w:t xml:space="preserve"> El Consejo Estatal sesionará de forma ordinaria cuando menos dos </w:t>
      </w:r>
      <w:r w:rsidRPr="00DA70A6">
        <w:rPr>
          <w:rFonts w:ascii="Arial Narrow" w:eastAsia="Calibri" w:hAnsi="Arial Narrow" w:cs="Arial"/>
          <w:spacing w:val="1"/>
        </w:rPr>
        <w:t xml:space="preserve">veces al año y de forma extraordinaria cuando, por la naturaleza de los temas a tratar, sea </w:t>
      </w:r>
      <w:r w:rsidRPr="00DA70A6">
        <w:rPr>
          <w:rFonts w:ascii="Arial Narrow" w:eastAsia="Calibri" w:hAnsi="Arial Narrow" w:cs="Arial"/>
          <w:spacing w:val="3"/>
        </w:rPr>
        <w:t xml:space="preserve">necesario a juicio del Presidente del Consejo Estatal. La convocatoria se hará llegar a los </w:t>
      </w:r>
      <w:r w:rsidRPr="00DA70A6">
        <w:rPr>
          <w:rFonts w:ascii="Arial Narrow" w:eastAsia="Calibri" w:hAnsi="Arial Narrow" w:cs="Arial"/>
          <w:spacing w:val="2"/>
        </w:rPr>
        <w:t xml:space="preserve">miembros del Consejo Estatal, por conducto del Secretario Ejecutivo, con una anticipación </w:t>
      </w:r>
      <w:r w:rsidRPr="00DA70A6">
        <w:rPr>
          <w:rFonts w:ascii="Arial Narrow" w:eastAsia="Calibri" w:hAnsi="Arial Narrow" w:cs="Arial"/>
        </w:rPr>
        <w:t>de por lo menos diez días en el caso de las ordinarias y de por lo menos tres días en el caso de las extraordinarias.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w w:val="103"/>
        </w:rPr>
        <w:t xml:space="preserve">Para sesionar se requerirá la asistencia de por lo menos la mitad más uno de los </w:t>
      </w:r>
      <w:r w:rsidRPr="00DA70A6">
        <w:rPr>
          <w:rFonts w:ascii="Arial Narrow" w:eastAsia="Calibri" w:hAnsi="Arial Narrow" w:cs="Arial"/>
          <w:spacing w:val="2"/>
        </w:rPr>
        <w:t xml:space="preserve">integrantes del Consejo Estatal, sus acuerdos deberán tomarse preferentemente por </w:t>
      </w:r>
      <w:r w:rsidRPr="00DA70A6">
        <w:rPr>
          <w:rFonts w:ascii="Arial Narrow" w:eastAsia="Calibri" w:hAnsi="Arial Narrow" w:cs="Arial"/>
          <w:w w:val="107"/>
        </w:rPr>
        <w:t xml:space="preserve">consenso, pero tendrán validez cuando sean aprobados por mayoría de votos de los </w:t>
      </w:r>
      <w:r w:rsidRPr="00DA70A6">
        <w:rPr>
          <w:rFonts w:ascii="Arial Narrow" w:eastAsia="Calibri" w:hAnsi="Arial Narrow" w:cs="Arial"/>
        </w:rPr>
        <w:t>presentes, y quien presida la sesión tendrá voto de calidad en caso de empate.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spacing w:val="1"/>
        </w:rPr>
        <w:t xml:space="preserve">Los integrantes e invitados del Consejo Estatal participarán en el mismo de manera </w:t>
      </w:r>
      <w:r w:rsidRPr="00DA70A6">
        <w:rPr>
          <w:rFonts w:ascii="Arial Narrow" w:eastAsia="Calibri" w:hAnsi="Arial Narrow" w:cs="Arial"/>
        </w:rPr>
        <w:t>honorífica.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21. </w:t>
      </w:r>
      <w:r w:rsidRPr="00DA70A6">
        <w:rPr>
          <w:rFonts w:ascii="Arial Narrow" w:eastAsia="Calibri" w:hAnsi="Arial Narrow" w:cs="Arial"/>
        </w:rPr>
        <w:t>Corresponde al Secretario Ejecutivo del Consejo Estatal:</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Elaborar y distribuir, en acuerdo con el Presidente del Consejo Estatal, la </w:t>
      </w:r>
      <w:r w:rsidRPr="00DA70A6">
        <w:rPr>
          <w:rFonts w:ascii="Arial Narrow" w:eastAsia="Times New Roman" w:hAnsi="Arial Narrow" w:cs="Arial"/>
          <w:lang w:eastAsia="es-ES"/>
        </w:rPr>
        <w:t>convocatoria y orden del día de las sesiones;</w:t>
      </w:r>
    </w:p>
    <w:p w:rsidR="008F7F6A" w:rsidRPr="00DA70A6" w:rsidRDefault="008F7F6A" w:rsidP="008F7F6A">
      <w:pPr>
        <w:numPr>
          <w:ilvl w:val="0"/>
          <w:numId w:val="2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Compilar los acuerdos que se tomen en el Consejo Estatal, llevar el archivo de </w:t>
      </w:r>
      <w:r w:rsidRPr="00DA70A6">
        <w:rPr>
          <w:rFonts w:ascii="Arial Narrow" w:eastAsia="Times New Roman" w:hAnsi="Arial Narrow" w:cs="Arial"/>
          <w:lang w:eastAsia="es-ES"/>
        </w:rPr>
        <w:t>estos y de los instrumentos jurídicos que deriven, y expedir constancia de los mismos;</w:t>
      </w:r>
    </w:p>
    <w:p w:rsidR="008F7F6A" w:rsidRPr="00DA70A6" w:rsidRDefault="008F7F6A" w:rsidP="008F7F6A">
      <w:pPr>
        <w:numPr>
          <w:ilvl w:val="0"/>
          <w:numId w:val="2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Elaborar y publicar informes de actividades del Consejo Estatal;</w:t>
      </w:r>
    </w:p>
    <w:p w:rsidR="008F7F6A" w:rsidRPr="00DA70A6" w:rsidRDefault="008F7F6A" w:rsidP="008F7F6A">
      <w:pPr>
        <w:numPr>
          <w:ilvl w:val="0"/>
          <w:numId w:val="2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Publicar en el Periódico Oficial del Estado los instrumentos a los que se refieren </w:t>
      </w:r>
      <w:r w:rsidRPr="00DA70A6">
        <w:rPr>
          <w:rFonts w:ascii="Arial Narrow" w:eastAsia="Times New Roman" w:hAnsi="Arial Narrow" w:cs="Arial"/>
          <w:lang w:eastAsia="es-ES"/>
        </w:rPr>
        <w:t>las fracciones I, II y XI del artículo 18 de esta Ley</w:t>
      </w:r>
      <w:r w:rsidR="00173F69" w:rsidRPr="00DA70A6">
        <w:rPr>
          <w:rFonts w:ascii="Arial Narrow" w:eastAsia="Times New Roman" w:hAnsi="Arial Narrow" w:cs="Arial"/>
          <w:lang w:eastAsia="es-ES"/>
        </w:rPr>
        <w:t>;</w:t>
      </w:r>
      <w:r w:rsidRPr="00DA70A6">
        <w:rPr>
          <w:rFonts w:ascii="Arial Narrow" w:eastAsia="Times New Roman" w:hAnsi="Arial Narrow" w:cs="Arial"/>
          <w:lang w:eastAsia="es-ES"/>
        </w:rPr>
        <w:t xml:space="preserve"> y</w:t>
      </w:r>
    </w:p>
    <w:p w:rsidR="008F7F6A" w:rsidRPr="00DA70A6" w:rsidRDefault="008F7F6A" w:rsidP="008F7F6A">
      <w:pPr>
        <w:numPr>
          <w:ilvl w:val="0"/>
          <w:numId w:val="2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le señale esta Ley, el Reglamento y demás disposiciones jurídicas aplicables.</w:t>
      </w:r>
    </w:p>
    <w:p w:rsidR="008F7F6A" w:rsidRPr="00DA70A6" w:rsidRDefault="008F7F6A" w:rsidP="008F7F6A">
      <w:pPr>
        <w:spacing w:line="360" w:lineRule="auto"/>
        <w:ind w:right="49"/>
        <w:contextualSpacing/>
        <w:jc w:val="both"/>
        <w:rPr>
          <w:rFonts w:ascii="Arial Narrow" w:eastAsia="Calibri" w:hAnsi="Arial Narrow" w:cs="Arial"/>
        </w:rPr>
      </w:pPr>
    </w:p>
    <w:p w:rsidR="008F7F6A" w:rsidRPr="00DA70A6" w:rsidRDefault="008F7F6A" w:rsidP="008F7F6A">
      <w:pPr>
        <w:spacing w:line="360" w:lineRule="auto"/>
        <w:ind w:right="49"/>
        <w:contextualSpacing/>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 Estrategia Estatal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spacing w:val="1"/>
        </w:rPr>
        <w:t>Artículo 22.</w:t>
      </w:r>
      <w:r w:rsidRPr="00DA70A6">
        <w:rPr>
          <w:rFonts w:ascii="Arial Narrow" w:eastAsia="Calibri" w:hAnsi="Arial Narrow" w:cs="Arial"/>
          <w:spacing w:val="1"/>
        </w:rPr>
        <w:t xml:space="preserve"> La Estrategia es el instrumento programático que tiene como propósito </w:t>
      </w:r>
      <w:r w:rsidRPr="00DA70A6">
        <w:rPr>
          <w:rFonts w:ascii="Arial Narrow" w:eastAsia="Calibri" w:hAnsi="Arial Narrow" w:cs="Arial"/>
          <w:spacing w:val="3"/>
        </w:rPr>
        <w:t xml:space="preserve">articular la política de mejora regulatoria de los Sujetos Obligados a efecto de asegurar el </w:t>
      </w:r>
      <w:r w:rsidRPr="00DA70A6">
        <w:rPr>
          <w:rFonts w:ascii="Arial Narrow" w:eastAsia="Calibri" w:hAnsi="Arial Narrow" w:cs="Arial"/>
          <w:spacing w:val="1"/>
        </w:rPr>
        <w:t xml:space="preserve">cumplimiento del objeto de esta Ley. La Estrategia Estatal se ajustará a lo dispuesto por la </w:t>
      </w:r>
      <w:r w:rsidRPr="00DA70A6">
        <w:rPr>
          <w:rFonts w:ascii="Arial Narrow" w:eastAsia="Calibri" w:hAnsi="Arial Narrow" w:cs="Arial"/>
        </w:rPr>
        <w:t>Estrategia Nacional, que para tal efecto se emita.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23</w:t>
      </w:r>
      <w:r w:rsidRPr="00DA70A6">
        <w:rPr>
          <w:rFonts w:ascii="Arial Narrow" w:eastAsia="Calibri" w:hAnsi="Arial Narrow" w:cs="Arial"/>
        </w:rPr>
        <w:t>. La Estrategia Estatal comprenderá, al menos, lo siguiente: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2"/>
        </w:numPr>
        <w:tabs>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 xml:space="preserve">Un diagnóstico por parte de la Secretaría de la situación que guarda la política </w:t>
      </w:r>
      <w:r w:rsidRPr="00DA70A6">
        <w:rPr>
          <w:rFonts w:ascii="Arial Narrow" w:eastAsia="Times New Roman" w:hAnsi="Arial Narrow" w:cs="Arial"/>
          <w:lang w:eastAsia="es-ES"/>
        </w:rPr>
        <w:t xml:space="preserve">de mejora regulatoria en el Estado, alineado con la Estrategia Nacional; </w:t>
      </w:r>
    </w:p>
    <w:p w:rsidR="008F7F6A" w:rsidRPr="00DA70A6" w:rsidRDefault="008F7F6A" w:rsidP="008F7F6A">
      <w:pPr>
        <w:numPr>
          <w:ilvl w:val="0"/>
          <w:numId w:val="22"/>
        </w:numPr>
        <w:tabs>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Las buenas prácticas nacionales e internacionales en materia de mejora </w:t>
      </w:r>
      <w:r w:rsidRPr="00DA70A6">
        <w:rPr>
          <w:rFonts w:ascii="Arial Narrow" w:eastAsia="Times New Roman" w:hAnsi="Arial Narrow" w:cs="Arial"/>
          <w:lang w:eastAsia="es-ES"/>
        </w:rPr>
        <w:t>regulatoria;</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Los objetivos de corto, mediano y largo plazo en materia de mejora regulatoria; </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elementos para la instrumentación de la mejora regulatoria;</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1"/>
          <w:lang w:eastAsia="es-ES"/>
        </w:rPr>
        <w:t xml:space="preserve">Las acciones, medidas y programas de mejora regulatoria que permitan impactar </w:t>
      </w:r>
      <w:r w:rsidRPr="00DA70A6">
        <w:rPr>
          <w:rFonts w:ascii="Arial Narrow" w:eastAsia="Times New Roman" w:hAnsi="Arial Narrow" w:cs="Arial"/>
          <w:spacing w:val="2"/>
          <w:lang w:eastAsia="es-ES"/>
        </w:rPr>
        <w:t xml:space="preserve">favorablemente en el mejoramiento de la calidad regulatoria del Estado y que incidan en el </w:t>
      </w:r>
      <w:r w:rsidRPr="00DA70A6">
        <w:rPr>
          <w:rFonts w:ascii="Arial Narrow" w:eastAsia="Times New Roman" w:hAnsi="Arial Narrow" w:cs="Arial"/>
          <w:lang w:eastAsia="es-ES"/>
        </w:rPr>
        <w:t>desarrollo y el crecimiento económico estatal, así como el bienestar social;</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herramientas de la mejora regulatoria y su uso sistemático;</w:t>
      </w:r>
    </w:p>
    <w:p w:rsidR="008F7F6A" w:rsidRPr="00DA70A6" w:rsidRDefault="008F7F6A" w:rsidP="008F7F6A">
      <w:pPr>
        <w:numPr>
          <w:ilvl w:val="0"/>
          <w:numId w:val="22"/>
        </w:numPr>
        <w:tabs>
          <w:tab w:val="left" w:pos="2268"/>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Las metodologías para la aplicación de las herramientas de la mejora regulatoria; </w:t>
      </w:r>
    </w:p>
    <w:p w:rsidR="008F7F6A" w:rsidRPr="00DA70A6" w:rsidRDefault="008F7F6A" w:rsidP="008F7F6A">
      <w:pPr>
        <w:numPr>
          <w:ilvl w:val="0"/>
          <w:numId w:val="22"/>
        </w:numPr>
        <w:tabs>
          <w:tab w:val="left" w:pos="2268"/>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Las metodologías para el diagnóstico periódico del acervo regulatorio; </w:t>
      </w:r>
    </w:p>
    <w:p w:rsidR="008F7F6A" w:rsidRPr="00DA70A6" w:rsidRDefault="008F7F6A" w:rsidP="008F7F6A">
      <w:pPr>
        <w:numPr>
          <w:ilvl w:val="0"/>
          <w:numId w:val="22"/>
        </w:numPr>
        <w:tabs>
          <w:tab w:val="left" w:pos="2268"/>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2"/>
          <w:lang w:eastAsia="es-ES"/>
        </w:rPr>
        <w:t xml:space="preserve">Las políticas y acciones específicas para atender la problemática regulatoria de </w:t>
      </w:r>
      <w:r w:rsidRPr="00DA70A6">
        <w:rPr>
          <w:rFonts w:ascii="Arial Narrow" w:eastAsia="Times New Roman" w:hAnsi="Arial Narrow" w:cs="Arial"/>
          <w:lang w:eastAsia="es-ES"/>
        </w:rPr>
        <w:t>materias, sectores o regiones del estado;</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Las directrices, mecanismos y lineamientos técnicos para integrar, actualizar y </w:t>
      </w:r>
      <w:r w:rsidRPr="00DA70A6">
        <w:rPr>
          <w:rFonts w:ascii="Arial Narrow" w:eastAsia="Times New Roman" w:hAnsi="Arial Narrow" w:cs="Arial"/>
          <w:w w:val="105"/>
          <w:lang w:eastAsia="es-ES"/>
        </w:rPr>
        <w:t xml:space="preserve">operar el Catálogo Estatal, incluyendo procedimientos, formatos y plazos para que los </w:t>
      </w:r>
      <w:r w:rsidRPr="00DA70A6">
        <w:rPr>
          <w:rFonts w:ascii="Arial Narrow" w:eastAsia="Times New Roman" w:hAnsi="Arial Narrow" w:cs="Arial"/>
          <w:lang w:eastAsia="es-ES"/>
        </w:rPr>
        <w:t>Sujetos Obligados ingresen la información correspondiente;</w:t>
      </w:r>
    </w:p>
    <w:p w:rsidR="008F7F6A" w:rsidRPr="00DA70A6" w:rsidRDefault="008F7F6A" w:rsidP="008F7F6A">
      <w:pPr>
        <w:numPr>
          <w:ilvl w:val="0"/>
          <w:numId w:val="22"/>
        </w:numPr>
        <w:tabs>
          <w:tab w:val="left" w:pos="8789"/>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lineamientos generales de aplicación del Análisis de Impacto Regulatorio;</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criterios para revisar, actualizar y mejorar el acervo regulatorio estatal;</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spacing w:val="3"/>
          <w:lang w:eastAsia="es-ES"/>
        </w:rPr>
        <w:lastRenderedPageBreak/>
        <w:t xml:space="preserve">Los mecanismos para fortalecer las capacidades jurídicas e institucionales en </w:t>
      </w:r>
      <w:r w:rsidRPr="00DA70A6">
        <w:rPr>
          <w:rFonts w:ascii="Arial Narrow" w:eastAsia="Times New Roman" w:hAnsi="Arial Narrow" w:cs="Arial"/>
          <w:lang w:eastAsia="es-ES"/>
        </w:rPr>
        <w:t>materia de mejora regulatoria;</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3"/>
          <w:lang w:eastAsia="es-ES"/>
        </w:rPr>
        <w:t xml:space="preserve">Las medidas para reducir y simplificar, y en su caso automatizar, Trámites y </w:t>
      </w:r>
      <w:r w:rsidRPr="00DA70A6">
        <w:rPr>
          <w:rFonts w:ascii="Arial Narrow" w:eastAsia="Times New Roman" w:hAnsi="Arial Narrow" w:cs="Arial"/>
          <w:lang w:eastAsia="es-ES"/>
        </w:rPr>
        <w:t>Servicios;</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Los mecanismos de observación y cumplimiento de indicadores que permitan </w:t>
      </w:r>
      <w:r w:rsidRPr="00DA70A6">
        <w:rPr>
          <w:rFonts w:ascii="Arial Narrow" w:eastAsia="Times New Roman" w:hAnsi="Arial Narrow" w:cs="Arial"/>
          <w:lang w:eastAsia="es-ES"/>
        </w:rPr>
        <w:t>conocer el avance de los objetivos, programas y acciones derivados de la política de mejora regulatoria;</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6"/>
          <w:lang w:eastAsia="es-ES"/>
        </w:rPr>
        <w:t xml:space="preserve">Los estándares mínimos para asegurar la correcta implementación de las </w:t>
      </w:r>
      <w:r w:rsidRPr="00DA70A6">
        <w:rPr>
          <w:rFonts w:ascii="Arial Narrow" w:eastAsia="Times New Roman" w:hAnsi="Arial Narrow" w:cs="Arial"/>
          <w:spacing w:val="2"/>
          <w:lang w:eastAsia="es-ES"/>
        </w:rPr>
        <w:t xml:space="preserve">herramientas de la mejora regulatoria a que hace referencia el Título Tercero de esta Ley, </w:t>
      </w:r>
      <w:r w:rsidRPr="00DA70A6">
        <w:rPr>
          <w:rFonts w:ascii="Arial Narrow" w:eastAsia="Times New Roman" w:hAnsi="Arial Narrow" w:cs="Arial"/>
          <w:w w:val="104"/>
          <w:lang w:eastAsia="es-ES"/>
        </w:rPr>
        <w:t xml:space="preserve">incluyendo entre otros, la consulta pública, transparencia y rendición de cuentas en los </w:t>
      </w:r>
      <w:r w:rsidRPr="00DA70A6">
        <w:rPr>
          <w:rFonts w:ascii="Arial Narrow" w:eastAsia="Times New Roman" w:hAnsi="Arial Narrow" w:cs="Arial"/>
          <w:lang w:eastAsia="es-ES"/>
        </w:rPr>
        <w:t>procedimientos de diseño e implementación de la Regulación;</w:t>
      </w:r>
    </w:p>
    <w:p w:rsidR="008F7F6A" w:rsidRPr="00DA70A6" w:rsidRDefault="008F7F6A" w:rsidP="008F7F6A">
      <w:pPr>
        <w:numPr>
          <w:ilvl w:val="0"/>
          <w:numId w:val="22"/>
        </w:numPr>
        <w:tabs>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2"/>
          <w:lang w:eastAsia="es-ES"/>
        </w:rPr>
        <w:t xml:space="preserve">Los mecanismos de coordinación para garantizar la congruencia de la </w:t>
      </w:r>
      <w:r w:rsidRPr="00DA70A6">
        <w:rPr>
          <w:rFonts w:ascii="Arial Narrow" w:eastAsia="Times New Roman" w:hAnsi="Arial Narrow" w:cs="Arial"/>
          <w:lang w:eastAsia="es-ES"/>
        </w:rPr>
        <w:t xml:space="preserve">Regulación que expidan los Sujetos Obligados en términos de esta Ley; </w:t>
      </w:r>
    </w:p>
    <w:p w:rsidR="008F7F6A" w:rsidRPr="00DA70A6" w:rsidRDefault="008F7F6A" w:rsidP="008F7F6A">
      <w:pPr>
        <w:numPr>
          <w:ilvl w:val="0"/>
          <w:numId w:val="22"/>
        </w:numPr>
        <w:tabs>
          <w:tab w:val="left" w:pos="2268"/>
        </w:tabs>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w w:val="104"/>
          <w:lang w:eastAsia="es-ES"/>
        </w:rPr>
        <w:t xml:space="preserve">Los mecanismos que regulen el procedimiento a que se sujete la Protesta </w:t>
      </w:r>
      <w:r w:rsidRPr="00DA70A6">
        <w:rPr>
          <w:rFonts w:ascii="Arial Narrow" w:eastAsia="Times New Roman" w:hAnsi="Arial Narrow" w:cs="Arial"/>
          <w:lang w:eastAsia="es-ES"/>
        </w:rPr>
        <w:t>Ciudadana;</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directrices necesarias para la integración del Catálogo Estatal y municipales al Catálogo Nacional; y</w:t>
      </w:r>
    </w:p>
    <w:p w:rsidR="008F7F6A" w:rsidRPr="00DA70A6" w:rsidRDefault="008F7F6A" w:rsidP="008F7F6A">
      <w:pPr>
        <w:numPr>
          <w:ilvl w:val="0"/>
          <w:numId w:val="2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se deriven de esta Ley y otras disposiciones jurídicas aplicables.</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spacing w:val="-1"/>
        </w:rPr>
        <w:t>Artículo 24.</w:t>
      </w:r>
      <w:r w:rsidRPr="00DA70A6">
        <w:rPr>
          <w:rFonts w:ascii="Arial Narrow" w:eastAsia="Calibri" w:hAnsi="Arial Narrow" w:cs="Arial"/>
          <w:spacing w:val="-1"/>
        </w:rPr>
        <w:t xml:space="preserve">  El Consejo Estatal aprobará la Estrategia, misma que será publicada en </w:t>
      </w:r>
      <w:r w:rsidRPr="00DA70A6">
        <w:rPr>
          <w:rFonts w:ascii="Arial Narrow" w:eastAsia="Calibri" w:hAnsi="Arial Narrow" w:cs="Arial"/>
          <w:w w:val="102"/>
        </w:rPr>
        <w:t xml:space="preserve">el Periódico Oficial del Estado y será vinculante para los sujetos obligados del Estado de </w:t>
      </w:r>
      <w:r w:rsidRPr="00DA70A6">
        <w:rPr>
          <w:rFonts w:ascii="Arial Narrow" w:eastAsia="Calibri" w:hAnsi="Arial Narrow" w:cs="Arial"/>
        </w:rPr>
        <w:t>Coahuila de Zaragoza.</w:t>
      </w:r>
    </w:p>
    <w:p w:rsidR="008F7F6A" w:rsidRPr="00DA70A6" w:rsidRDefault="008F7F6A" w:rsidP="008F7F6A">
      <w:pPr>
        <w:spacing w:after="0" w:line="360" w:lineRule="auto"/>
        <w:ind w:right="49"/>
        <w:jc w:val="both"/>
        <w:rPr>
          <w:rFonts w:ascii="Arial Narrow" w:eastAsia="Calibri" w:hAnsi="Arial Narrow" w:cs="Arial"/>
        </w:rPr>
      </w:pPr>
    </w:p>
    <w:p w:rsidR="00173F69" w:rsidRPr="00DA70A6" w:rsidRDefault="00173F69"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IV</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 xml:space="preserve">De la Secretaría </w:t>
      </w:r>
    </w:p>
    <w:p w:rsidR="008F7F6A" w:rsidRPr="00DA70A6" w:rsidRDefault="008F7F6A" w:rsidP="008F7F6A">
      <w:pPr>
        <w:spacing w:after="0" w:line="360" w:lineRule="auto"/>
        <w:ind w:right="49"/>
        <w:jc w:val="center"/>
        <w:rPr>
          <w:rFonts w:ascii="Arial Narrow" w:eastAsia="Calibri" w:hAnsi="Arial Narrow" w:cs="Arial"/>
          <w:b/>
          <w:strike/>
        </w:rPr>
      </w:pPr>
    </w:p>
    <w:p w:rsidR="008F7F6A" w:rsidRPr="00DA70A6" w:rsidRDefault="008F7F6A" w:rsidP="008F7F6A">
      <w:pPr>
        <w:spacing w:after="0" w:line="360" w:lineRule="auto"/>
        <w:ind w:right="49"/>
        <w:jc w:val="both"/>
        <w:rPr>
          <w:rFonts w:ascii="Arial Narrow" w:eastAsia="Calibri" w:hAnsi="Arial Narrow" w:cs="Arial"/>
          <w:spacing w:val="-2"/>
        </w:rPr>
      </w:pPr>
      <w:r w:rsidRPr="00DA70A6">
        <w:rPr>
          <w:rFonts w:ascii="Arial Narrow" w:eastAsia="Calibri" w:hAnsi="Arial Narrow" w:cs="Arial"/>
          <w:b/>
        </w:rPr>
        <w:t>Artículo 25.</w:t>
      </w:r>
      <w:r w:rsidRPr="00DA70A6">
        <w:rPr>
          <w:rFonts w:ascii="Arial Narrow" w:eastAsia="Calibri" w:hAnsi="Arial Narrow" w:cs="Arial"/>
        </w:rPr>
        <w:t xml:space="preserve"> La Secretaría como autoridad estatal en materia de mejora regulatoria tiene como objetivo promover la mejora de las Regulaciones y la simplificación de Trámites y Servicios, </w:t>
      </w:r>
      <w:r w:rsidRPr="00DA70A6">
        <w:rPr>
          <w:rFonts w:ascii="Arial Narrow" w:eastAsia="Calibri" w:hAnsi="Arial Narrow" w:cs="Arial"/>
          <w:spacing w:val="-2"/>
        </w:rPr>
        <w:t>así como la transparencia en la elaboración y aplicación de los mismos, procurando que estos generen beneficios superiores a sus costos y el máximo beneficio para la sociedad.</w:t>
      </w:r>
    </w:p>
    <w:p w:rsidR="003243DB" w:rsidRPr="00DA70A6" w:rsidRDefault="003243DB"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26.</w:t>
      </w:r>
      <w:r w:rsidRPr="00DA70A6">
        <w:rPr>
          <w:rFonts w:ascii="Arial Narrow" w:eastAsia="Calibri" w:hAnsi="Arial Narrow" w:cs="Arial"/>
        </w:rPr>
        <w:t xml:space="preserve"> La Secretaría tendrá las siguientes atribuciones: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Desempeñar las funciones de coordinación, supervisión y ejecución que establece esta Ley, promoviendo la mejora regulatoria y competitividad en el Estado de Coahuila de Zaragoza; </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Con base en la Estrategia Nacional de Mejora Regulatoria, proponer al Consejo Estatal la Estrategia para el ámbito local; desarrollar, monitorear, evaluar y dar publicidad a la misma;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Proponer al Consejo Estatal la emisión de directrices, instrumentos, lineamientos, mecanismos y buenas prácticas para el cumplimiento del objeto de esta Ley;</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Proponer al Consejo Estatal las metodologías para la organización y sistematización de la información administrativa y estadística, así como los indicadores que deberán adoptar los Sujetos Obligados del Estado de Coahuila de Zaragoza en materia de mejora regulatoria;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Administrar el Catálogo Estatal;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Brindar asesoría técnica y capacitación en materia de mejora regulatoria que requieran los Sujetos Obligados de la Administración Pública Estatal;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Dictaminar las Propuestas Regulatorias y sus Análisis de Impacto Regulatorio que se reciban de los Sujetos Obligados del ámbito estatal y, en su caso, municipal, lo anterior respetando los lineamientos que para tal efecto emita la CONAMER;</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Elaborar y presentar al Congreso del Estado un informe anual sobre los resultados, avances y retos de la política estatal de mejora regulatoria;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Elaborar y promover programas académicos directamente o en colaboración con otras instituciones para la formación de capacidades en materia de mejora regulatoria;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Crear, desarrollar, proponer y promover Programas Específicos de Simplificación y Mejora Regulatoria y en su caso seguir los planteados por la CONAMER destinados a los sujetos obligados;</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Procurar que las acciones y Programas de Mejora Regulatoria de los Sujetos Obligados se rijan por los mismos estándares de operación;</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Vigilar el funcionamiento del Sistema de Protesta Ciudadana e informar al órgano de control interno que corresponda, en los casos en que proceda;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Celebrar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sociales, empresariales y académicas, organismos nacionales e internacionales a efecto de cumplir con los objetivos de la presente ley;</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la evaluación de Regulaciones vigentes a través del Análisis de Impacto Regulatorio ex post, tomando en consideración los lineamientos establecidos por la CONAMER;</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Proponer, coordinar, publicar, monitorear, opinar y evaluar los Programas de Mejora Regulatoria de los Sujetos Obligados de la Administración Pública Estatal, así como emitir los lineamientos para su operación mismos que serán vinculantes para la Administración Pública Estatal;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Crear, desarrollar, proponer y promover programas específicos de simplificación y mejora regulatoria en el ámbito estatal;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Establecer acuerdos y convenios de colaboración, concertación y coordinación que contribuyan al cumplimiento de sus objetivos;</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Calcular en coordinación con la Secretaría de Fiscalización el costo económico de los Trámites y Servicios con la información proporcionada por los Sujetos Obligados de la Administración Pública Estatal con la asesoría técnica de la CONAMER;</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el estudio, la divulgación y la aplicación de la política pública de mejora regulatoria;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la integración del Catálogo Estatal y municipales al Catálogo Nacional;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Supervisar que los Sujetos Obligados de la Administración Pública Estatal tengan actualizada la parte que les corresponde del Catálogo, así como mantener actualizado el segmento de las Regulaciones estatales; </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Recibir e integrar la Agenda Estatal de Mejora Regulatoria;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Interpretar lo previsto en esta Ley para efectos administrativos dentro del ámbito de la Administración Pública Estatal;</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Ejecutar los acuerdos, directrices y demás resoluciones adoptados por el Consejo Estatal, en el ámbito de su competencia;</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Publicar en el Periódico Oficial del Estado los lineamientos necesarios para el funcionamiento de la Estrategia Estatal; y</w:t>
      </w:r>
    </w:p>
    <w:p w:rsidR="008F7F6A" w:rsidRPr="00DA70A6" w:rsidRDefault="008F7F6A" w:rsidP="008F7F6A">
      <w:pPr>
        <w:numPr>
          <w:ilvl w:val="0"/>
          <w:numId w:val="2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facultades que establezcan esta Ley y otras disposiciones jurídicas aplicables.</w:t>
      </w: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Sistema Estatal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27.</w:t>
      </w:r>
      <w:r w:rsidRPr="00DA70A6">
        <w:rPr>
          <w:rFonts w:ascii="Arial Narrow" w:eastAsia="Calibri" w:hAnsi="Arial Narrow" w:cs="Arial"/>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28</w:t>
      </w:r>
      <w:r w:rsidRPr="00DA70A6">
        <w:rPr>
          <w:rFonts w:ascii="Arial Narrow" w:eastAsia="Calibri" w:hAnsi="Arial Narrow" w:cs="Arial"/>
        </w:rPr>
        <w:t>.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Nacional, así como los correspondientes con los consejos de los municipios o alcaldías.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 Implementación de la Política de Mejora Regulatoria por los Poderes Legislativo y Judicial, los Organismos con Autonomía Constitucional y los Organismos con jurisdicción Contenciosa que no formen parte de los poderes judiciales</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29.</w:t>
      </w:r>
      <w:r w:rsidRPr="00DA70A6">
        <w:rPr>
          <w:rFonts w:ascii="Arial Narrow" w:eastAsia="Calibri" w:hAnsi="Arial Narrow" w:cs="Arial"/>
        </w:rPr>
        <w:t xml:space="preserve"> Los Poderes Legislativo y Judicial, así como los organismos con autonomía constitucional, del orden local y los órganos jurisdiccionales que no formen parte del Poder Judicial del Estado,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 previsto en el párrafo anterior no será aplicable para procesos jurisdiccionales.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Observatorio Nacional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30.</w:t>
      </w:r>
      <w:r w:rsidRPr="00DA70A6">
        <w:rPr>
          <w:rFonts w:ascii="Arial Narrow" w:eastAsia="Calibri" w:hAnsi="Arial Narrow" w:cs="Arial"/>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31.</w:t>
      </w:r>
      <w:r w:rsidRPr="00DA70A6">
        <w:rPr>
          <w:rFonts w:ascii="Arial Narrow" w:eastAsia="Calibri" w:hAnsi="Arial Narrow" w:cs="Arial"/>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rsidR="008F7F6A" w:rsidRPr="00DA70A6" w:rsidRDefault="008F7F6A" w:rsidP="008F7F6A">
      <w:pPr>
        <w:spacing w:after="0" w:line="360" w:lineRule="auto"/>
        <w:ind w:right="49"/>
        <w:jc w:val="both"/>
        <w:rPr>
          <w:rFonts w:ascii="Arial Narrow" w:eastAsia="Calibri" w:hAnsi="Arial Narrow" w:cs="Arial"/>
        </w:rPr>
      </w:pPr>
    </w:p>
    <w:p w:rsidR="00173F69" w:rsidRPr="00DA70A6" w:rsidRDefault="00173F69"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lastRenderedPageBreak/>
        <w:t>Capítulo VIII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los Municipios</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32.</w:t>
      </w:r>
      <w:r w:rsidRPr="00DA70A6">
        <w:rPr>
          <w:rFonts w:ascii="Arial Narrow" w:eastAsia="Calibri" w:hAnsi="Arial Narrow" w:cs="Arial"/>
        </w:rPr>
        <w:t xml:space="preserve"> Para el cumplimiento de los objetivos de la Ley, los municipios integrarán Consejos Municipales de Mejora Regulatoria y deberán expedir su normatividad en la materia de conformidad con las disposiciones jurídicas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La o el Presidente Municipal deberá nombrar un Comisionado Municipal de Mejora Regulatoria, con nivel de titular de área o equivalente en la estructura orgánica municipal.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33.</w:t>
      </w:r>
      <w:r w:rsidRPr="00DA70A6">
        <w:rPr>
          <w:rFonts w:ascii="Arial Narrow" w:eastAsia="Calibri" w:hAnsi="Arial Narrow" w:cs="Arial"/>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34.</w:t>
      </w:r>
      <w:r w:rsidRPr="00DA70A6">
        <w:rPr>
          <w:rFonts w:ascii="Arial Narrow" w:eastAsia="Calibri" w:hAnsi="Arial Narrow" w:cs="Arial"/>
        </w:rPr>
        <w:t xml:space="preserve"> Compete a los municipios en materia de mejora regulatoria, lo siguiente: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3243DB">
      <w:pPr>
        <w:numPr>
          <w:ilvl w:val="0"/>
          <w:numId w:val="24"/>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rsidR="008F7F6A" w:rsidRPr="00DA70A6" w:rsidRDefault="008F7F6A" w:rsidP="003243DB">
      <w:pPr>
        <w:numPr>
          <w:ilvl w:val="0"/>
          <w:numId w:val="24"/>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Elaborar la Agenda Regulatoria, los Programas y acciones para lograr una </w:t>
      </w:r>
      <w:r w:rsidRPr="00DA70A6">
        <w:rPr>
          <w:rFonts w:ascii="Arial Narrow" w:eastAsia="Times New Roman" w:hAnsi="Arial Narrow" w:cs="Arial"/>
          <w:lang w:eastAsia="es-ES"/>
        </w:rPr>
        <w:br/>
        <w:t>mejora regulatoria integral, bajo los principios de máxima utilidad para la sociedad y la transparencia;</w:t>
      </w:r>
    </w:p>
    <w:p w:rsidR="008F7F6A" w:rsidRPr="00DA70A6" w:rsidRDefault="008F7F6A" w:rsidP="003243DB">
      <w:pPr>
        <w:numPr>
          <w:ilvl w:val="0"/>
          <w:numId w:val="24"/>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Establecer Comités Internos en cada dependencia municipal, en el ámbito de su competencia, los cuales se encargarán de elaborar y aprobar los programas anuales de mejora regulatoria,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rsidR="008F7F6A" w:rsidRPr="00DA70A6" w:rsidRDefault="008F7F6A" w:rsidP="003243DB">
      <w:pPr>
        <w:numPr>
          <w:ilvl w:val="0"/>
          <w:numId w:val="24"/>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le atribuyan otras disposiciones jurídicas para el cumplimiento de la mejora regulatoria.</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Los titulares de las dependencias deberán designar un servidor público con nivel </w:t>
      </w:r>
      <w:r w:rsidRPr="00DA70A6">
        <w:rPr>
          <w:rFonts w:ascii="Arial Narrow" w:eastAsia="Calibri" w:hAnsi="Arial Narrow" w:cs="Arial"/>
        </w:rPr>
        <w:br/>
        <w:t>jerárquico inmediato inferior, quien será el enlace de la materia y el responsable de mejora regulatoria del sujeto obligado, el cual tendrá estrecha comunicación con el Comisionado Municipal de Mejora Regulatoria para dar cumplimiento de la Ley.</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35.</w:t>
      </w:r>
      <w:r w:rsidRPr="00DA70A6">
        <w:rPr>
          <w:rFonts w:ascii="Arial Narrow" w:eastAsia="Calibri" w:hAnsi="Arial Narrow" w:cs="Arial"/>
        </w:rPr>
        <w:t xml:space="preserve"> Los Consejos Municipales se integrarán por:</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Presidente Municipal, quien lo presidirá;</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Síndico Municipal;</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número de regidores que estime cada Ayuntamiento y que serán los encargados de las comisiones que correspondan al objeto de la Ley;</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titular del área jurídica;</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Un Secretario Técnico, que será el Comisionado Municipal de Mejora Regulatoria;</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Representantes empresariales de organizaciones legalmente constituidas, que determine el Presidente Municipal con acuerdo de Cabildo; y</w:t>
      </w:r>
    </w:p>
    <w:p w:rsidR="008F7F6A" w:rsidRPr="00DA70A6" w:rsidRDefault="008F7F6A" w:rsidP="003243DB">
      <w:pPr>
        <w:numPr>
          <w:ilvl w:val="0"/>
          <w:numId w:val="46"/>
        </w:numPr>
        <w:spacing w:after="0" w:line="360" w:lineRule="auto"/>
        <w:ind w:left="709"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titulares de las Dependencias que determine el Presidente Municipal.</w:t>
      </w:r>
    </w:p>
    <w:p w:rsidR="008F7F6A" w:rsidRPr="00DA70A6" w:rsidRDefault="008F7F6A" w:rsidP="008F7F6A">
      <w:pPr>
        <w:spacing w:after="0" w:line="360" w:lineRule="auto"/>
        <w:ind w:left="80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36. </w:t>
      </w:r>
      <w:r w:rsidRPr="00DA70A6">
        <w:rPr>
          <w:rFonts w:ascii="Arial Narrow" w:eastAsia="Calibri" w:hAnsi="Arial Narrow" w:cs="Arial"/>
        </w:rPr>
        <w:t xml:space="preserve">Serán invitados especiales de los Consejos Municipales y podrán participar con voz, pero sin voto: </w:t>
      </w:r>
    </w:p>
    <w:p w:rsidR="003243DB" w:rsidRPr="00DA70A6" w:rsidRDefault="003243DB" w:rsidP="008F7F6A">
      <w:pPr>
        <w:spacing w:after="0" w:line="360" w:lineRule="auto"/>
        <w:ind w:right="49"/>
        <w:jc w:val="both"/>
        <w:rPr>
          <w:rFonts w:ascii="Arial Narrow" w:eastAsia="Calibri" w:hAnsi="Arial Narrow" w:cs="Arial"/>
        </w:rPr>
      </w:pPr>
    </w:p>
    <w:p w:rsidR="008F7F6A" w:rsidRPr="00DA70A6" w:rsidRDefault="008F7F6A" w:rsidP="003243DB">
      <w:pPr>
        <w:numPr>
          <w:ilvl w:val="0"/>
          <w:numId w:val="14"/>
        </w:numPr>
        <w:spacing w:after="0" w:line="360" w:lineRule="auto"/>
        <w:ind w:left="851" w:right="49" w:hanging="49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Representantes de confederaciones, cámaras y asociaciones empresariales, colegios, barras y asociaciones de profesionistas;</w:t>
      </w:r>
    </w:p>
    <w:p w:rsidR="008F7F6A" w:rsidRPr="00DA70A6" w:rsidRDefault="008F7F6A" w:rsidP="003243DB">
      <w:pPr>
        <w:numPr>
          <w:ilvl w:val="0"/>
          <w:numId w:val="14"/>
        </w:numPr>
        <w:spacing w:after="0" w:line="360" w:lineRule="auto"/>
        <w:ind w:left="851" w:right="49" w:hanging="49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Representantes de organizaciones y asociaciones de la sociedad civil, así como organizaciones de consumidores; y</w:t>
      </w:r>
    </w:p>
    <w:p w:rsidR="008F7F6A" w:rsidRPr="00DA70A6" w:rsidRDefault="008F7F6A" w:rsidP="003243DB">
      <w:pPr>
        <w:numPr>
          <w:ilvl w:val="0"/>
          <w:numId w:val="14"/>
        </w:numPr>
        <w:spacing w:after="0" w:line="360" w:lineRule="auto"/>
        <w:ind w:left="851" w:right="49" w:hanging="49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Académicos especialistas en materias afines.</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Al Consejo Municipal podrán concurrir como invitados las personas u organizaciones que considere pertinente su Presidente, cuando deban discutirse asuntos determinados, los que tendrán derecho a </w:t>
      </w:r>
      <w:proofErr w:type="gramStart"/>
      <w:r w:rsidRPr="00DA70A6">
        <w:rPr>
          <w:rFonts w:ascii="Arial Narrow" w:eastAsia="Calibri" w:hAnsi="Arial Narrow" w:cs="Arial"/>
        </w:rPr>
        <w:t>voz</w:t>
      </w:r>
      <w:proofErr w:type="gramEnd"/>
      <w:r w:rsidRPr="00DA70A6">
        <w:rPr>
          <w:rFonts w:ascii="Arial Narrow" w:eastAsia="Calibri" w:hAnsi="Arial Narrow" w:cs="Arial"/>
        </w:rPr>
        <w:t xml:space="preserve"> pero no a voto.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37. </w:t>
      </w:r>
      <w:r w:rsidRPr="00DA70A6">
        <w:rPr>
          <w:rFonts w:ascii="Arial Narrow" w:eastAsia="Calibri" w:hAnsi="Arial Narrow" w:cs="Arial"/>
        </w:rPr>
        <w:t>Los</w:t>
      </w:r>
      <w:r w:rsidRPr="00DA70A6">
        <w:rPr>
          <w:rFonts w:ascii="Arial Narrow" w:eastAsia="Calibri" w:hAnsi="Arial Narrow" w:cs="Arial"/>
          <w:b/>
        </w:rPr>
        <w:t xml:space="preserve"> </w:t>
      </w:r>
      <w:r w:rsidRPr="00DA70A6">
        <w:rPr>
          <w:rFonts w:ascii="Arial Narrow" w:eastAsia="Calibri" w:hAnsi="Arial Narrow" w:cs="Arial"/>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38.</w:t>
      </w:r>
      <w:r w:rsidRPr="00DA70A6">
        <w:rPr>
          <w:rFonts w:ascii="Arial Narrow" w:eastAsia="Calibri" w:hAnsi="Arial Narrow" w:cs="Arial"/>
        </w:rPr>
        <w:t xml:space="preserve"> Los Consejos Municipales tendrán, en su ámbito de competencia, las facultades y responsabilidades siguientes: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Establecer acciones, estrategias y lineamientos bajo los cuales se regirá la política de mejora regulatoria municipal de conformidad con la Ley y la Ley General;</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Aprobar el Programa Anual de Mejora Regulatoria Municipal y la Agenda Regulatoria conteniendo las propuestas de creación de regulaciones o de reforma específica;</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Recibir, analizar y observar el informe anual del avance programático de Mejora Regulatoria y la evaluación de los resultados, que le presente el Secretario Técnico e informar sobre el particular a la Secretaría para los efectos legales correspondientes;</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Aprobar la suscripción de convenios interinstitucionales de coordinación y cooperación en la materia con dependencias federales y/o estatales, y con otros municipios;</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Proponer las acciones necesarias para optimizar el proceso de mejora regulatoria en las dependencias municipales;</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Aprobar la creación de Mesas Temáticas de Mejora Regulatoria para tratar y solucionar aspectos específicos para la implementación de la política pública de su responsabilidad;</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Aprobar el Reglamento de Mejora Regulatoria Municipal, en el que se incluirá un Título estableciendo los términos para la operación del Consejo y en caso de ser necesario canalizarlo al H. Ayuntamiento para su aprobación; y</w:t>
      </w:r>
    </w:p>
    <w:p w:rsidR="008F7F6A" w:rsidRPr="00DA70A6" w:rsidRDefault="008F7F6A" w:rsidP="008F7F6A">
      <w:pPr>
        <w:numPr>
          <w:ilvl w:val="0"/>
          <w:numId w:val="2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le confiera esta Ley y demás disposiciones jurídicas aplicables.</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39.</w:t>
      </w:r>
      <w:r w:rsidRPr="00DA70A6">
        <w:rPr>
          <w:rFonts w:ascii="Arial Narrow" w:eastAsia="Calibri" w:hAnsi="Arial Narrow" w:cs="Arial"/>
        </w:rPr>
        <w:t xml:space="preserve"> El Comisionado Municipal tendrá, en su ámbito de competencia, las siguientes facultades y responsabilidades: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Integrar el Programa Anual de Mejora Regulatoria y la Agenda Regulatoria conteniendo las propuestas de creación de regulaciones o de reforma específica;</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Integrar, actualizar y administrar el Catálogo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Informar al Cabildo y al Consejo Municipal del avance programático de mejora regulatoria y de la evaluación de los resultados, con los informes y evaluaciones remitidos por las dependencias municipales;</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Proponer el proyecto del Reglamento Interior del Consejo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Implementar con asesoría de la Autoridad Estatal y la CONAMER la Estrategia en el municipio;</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Fungir como </w:t>
      </w:r>
      <w:r w:rsidR="00173F69" w:rsidRPr="00DA70A6">
        <w:rPr>
          <w:rFonts w:ascii="Arial Narrow" w:eastAsia="Times New Roman" w:hAnsi="Arial Narrow" w:cs="Arial"/>
          <w:lang w:eastAsia="es-ES"/>
        </w:rPr>
        <w:t xml:space="preserve">Secretario Ejecutivo </w:t>
      </w:r>
      <w:r w:rsidRPr="00DA70A6">
        <w:rPr>
          <w:rFonts w:ascii="Arial Narrow" w:eastAsia="Times New Roman" w:hAnsi="Arial Narrow" w:cs="Arial"/>
          <w:lang w:eastAsia="es-ES"/>
        </w:rPr>
        <w:t>del Consejo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Elaborar, en acuerdo con el Presidente, el Orden del Día de las sesiones ordinarias y extraordinarias del Consejo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Programar y convocar, en acuerdo con el Presidente del Consejo Municipal, a las sesiones ordinarias del Consejo Municipal y a las sesiones extraordinarias cuando así lo instruya el Presidente del mismo;</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Elaborar las actas de las sesiones y llevar el libro respectivo;</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Dar seguimiento, controlar y en su caso ejecutar los acuerdos del Consejo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Brindar los apoyos técnicos y de logística que requiera el Consejo Municipal;</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Proponer al Consejo Municipal la emisión de instrumentos, lineamientos, mecanismos y buenas prácticas para el cumplimiento del objeto de esta Ley;</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Promover la integración de la información del Catálogo Municipal al Catálogo Nacional; y</w:t>
      </w:r>
    </w:p>
    <w:p w:rsidR="008F7F6A" w:rsidRPr="00DA70A6" w:rsidRDefault="008F7F6A" w:rsidP="008F7F6A">
      <w:pPr>
        <w:numPr>
          <w:ilvl w:val="0"/>
          <w:numId w:val="26"/>
        </w:numPr>
        <w:spacing w:after="0" w:line="360" w:lineRule="auto"/>
        <w:ind w:left="709" w:right="49" w:hanging="425"/>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le confieran esta Ley y otras disposiciones aplicables.</w:t>
      </w:r>
    </w:p>
    <w:p w:rsidR="008F7F6A" w:rsidRPr="00DA70A6" w:rsidRDefault="008F7F6A" w:rsidP="008F7F6A">
      <w:pPr>
        <w:spacing w:after="0" w:line="360" w:lineRule="auto"/>
        <w:ind w:left="108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40.</w:t>
      </w:r>
      <w:r w:rsidRPr="00DA70A6">
        <w:rPr>
          <w:rFonts w:ascii="Arial Narrow" w:eastAsia="Calibri" w:hAnsi="Arial Narrow" w:cs="Arial"/>
        </w:rPr>
        <w:t xml:space="preserve"> Para cumplir con el objeto de la ley y con los objetivos de Mejora Regulatoria que apruebe el Consejo Municipal, las dependencias municipales tendrán, en su ámbito de competencia, las responsabilidades siguientes:</w:t>
      </w:r>
    </w:p>
    <w:p w:rsidR="003243DB" w:rsidRPr="00DA70A6" w:rsidRDefault="003243DB"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Elaborar su Programa Anual de Mejora Regulatoria y la Agenda Regulatoria con las propuestas de creación de regulaciones o de reforma específica; y sus Análisis de Impacto Regulatorio, en los términos y dentro de los plazos previstos por esta Ley;</w:t>
      </w:r>
    </w:p>
    <w:p w:rsidR="008F7F6A" w:rsidRPr="00DA70A6" w:rsidRDefault="008F7F6A" w:rsidP="008F7F6A">
      <w:pPr>
        <w:numPr>
          <w:ilvl w:val="0"/>
          <w:numId w:val="2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Elaborar su informe anual del avance programático de mejora regulatoria, que deberá incluir una evaluación de los resultados obtenidos y enviarlo al Secretario Técnico para los efectos legales correspondientes;</w:t>
      </w:r>
    </w:p>
    <w:p w:rsidR="008F7F6A" w:rsidRPr="00DA70A6" w:rsidRDefault="008F7F6A" w:rsidP="008F7F6A">
      <w:pPr>
        <w:numPr>
          <w:ilvl w:val="0"/>
          <w:numId w:val="2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Mantener actualizada la información de su competencia en el Catálogo, incluyendo, entre otros componentes, el Registro Municipal de regulaciones, el de </w:t>
      </w:r>
      <w:proofErr w:type="gramStart"/>
      <w:r w:rsidRPr="00DA70A6">
        <w:rPr>
          <w:rFonts w:ascii="Arial Narrow" w:eastAsia="Times New Roman" w:hAnsi="Arial Narrow" w:cs="Arial"/>
          <w:lang w:eastAsia="es-ES"/>
        </w:rPr>
        <w:t>trámites  y</w:t>
      </w:r>
      <w:proofErr w:type="gramEnd"/>
      <w:r w:rsidRPr="00DA70A6">
        <w:rPr>
          <w:rFonts w:ascii="Arial Narrow" w:eastAsia="Times New Roman" w:hAnsi="Arial Narrow" w:cs="Arial"/>
          <w:lang w:eastAsia="es-ES"/>
        </w:rPr>
        <w:t xml:space="preserve"> servicios, así como los requisitos, plazos y monto de los derechos o aprovechamientos aplicables y notificar al Consejero Municipal los cambios que realice;</w:t>
      </w:r>
    </w:p>
    <w:p w:rsidR="008F7F6A" w:rsidRPr="00DA70A6" w:rsidRDefault="008F7F6A" w:rsidP="008F7F6A">
      <w:pPr>
        <w:numPr>
          <w:ilvl w:val="0"/>
          <w:numId w:val="2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Enviar al Consejero Municipal las Propuestas Regulatorias y el correspondiente Análisis de Impacto Regulatorio; y</w:t>
      </w:r>
    </w:p>
    <w:p w:rsidR="008F7F6A" w:rsidRPr="00DA70A6" w:rsidRDefault="008F7F6A" w:rsidP="008F7F6A">
      <w:pPr>
        <w:numPr>
          <w:ilvl w:val="0"/>
          <w:numId w:val="2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establezcan otras disposiciones jurídicas aplicables.</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Las dependencias municipales remitirán al Consejero Municipal los documentos a que se refiere el presente artículo, para los efectos legales correspondientes.</w:t>
      </w:r>
    </w:p>
    <w:p w:rsidR="008F7F6A" w:rsidRPr="00DA70A6" w:rsidRDefault="008F7F6A" w:rsidP="008F7F6A">
      <w:pPr>
        <w:spacing w:after="0" w:line="360" w:lineRule="auto"/>
        <w:ind w:right="49"/>
        <w:jc w:val="both"/>
        <w:rPr>
          <w:rFonts w:ascii="Arial Narrow" w:eastAsia="Calibri" w:hAnsi="Arial Narrow" w:cs="Arial"/>
        </w:rPr>
      </w:pPr>
    </w:p>
    <w:p w:rsidR="00173F69" w:rsidRPr="00DA70A6" w:rsidRDefault="00173F69"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TÍTULO TERCERO</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 xml:space="preserve">DE LAS HERRAMIENTAS DEL SISTEMA ESTATAL DE MEJORA </w:t>
      </w:r>
      <w:r w:rsidRPr="00DA70A6">
        <w:rPr>
          <w:rFonts w:ascii="Arial Narrow" w:eastAsia="Calibri" w:hAnsi="Arial Narrow" w:cs="Arial"/>
          <w:b/>
        </w:rPr>
        <w:br/>
        <w:t>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lastRenderedPageBreak/>
        <w:t>Capítulo 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Catálogo de Regulaciones, Trámites y Servicios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41.</w:t>
      </w:r>
      <w:r w:rsidRPr="00DA70A6">
        <w:rPr>
          <w:rFonts w:ascii="Arial Narrow" w:eastAsia="Calibri" w:hAnsi="Arial Narrow" w:cs="Arial"/>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173F69" w:rsidRPr="00DA70A6" w:rsidRDefault="00173F69"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42. </w:t>
      </w:r>
      <w:r w:rsidRPr="00DA70A6">
        <w:rPr>
          <w:rFonts w:ascii="Arial Narrow" w:eastAsia="Calibri" w:hAnsi="Arial Narrow" w:cs="Arial"/>
        </w:rPr>
        <w:t>El Catálogo Estatal estará integrado por:</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Registro Estatal y Municipales de Regulaciones;</w:t>
      </w:r>
    </w:p>
    <w:p w:rsidR="008F7F6A" w:rsidRPr="00DA70A6" w:rsidRDefault="008F7F6A" w:rsidP="008F7F6A">
      <w:pPr>
        <w:numPr>
          <w:ilvl w:val="0"/>
          <w:numId w:val="2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Los Registros Estatal y Municipales de Trámites y Servicios; </w:t>
      </w:r>
    </w:p>
    <w:p w:rsidR="008F7F6A" w:rsidRPr="00DA70A6" w:rsidRDefault="008F7F6A" w:rsidP="008F7F6A">
      <w:pPr>
        <w:numPr>
          <w:ilvl w:val="0"/>
          <w:numId w:val="2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Expediente para Trámites y Servicios;</w:t>
      </w:r>
    </w:p>
    <w:p w:rsidR="008F7F6A" w:rsidRPr="00DA70A6" w:rsidRDefault="008F7F6A" w:rsidP="008F7F6A">
      <w:pPr>
        <w:numPr>
          <w:ilvl w:val="0"/>
          <w:numId w:val="2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Registro Estatal de Visitas Domiciliarias; y</w:t>
      </w:r>
    </w:p>
    <w:p w:rsidR="008F7F6A" w:rsidRPr="00DA70A6" w:rsidRDefault="008F7F6A" w:rsidP="008F7F6A">
      <w:pPr>
        <w:numPr>
          <w:ilvl w:val="0"/>
          <w:numId w:val="2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Protesta Ciudadana.</w:t>
      </w:r>
    </w:p>
    <w:p w:rsidR="008F7F6A" w:rsidRPr="00DA70A6" w:rsidRDefault="008F7F6A" w:rsidP="008F7F6A">
      <w:pPr>
        <w:spacing w:line="360" w:lineRule="auto"/>
        <w:ind w:right="49"/>
        <w:contextualSpacing/>
        <w:jc w:val="both"/>
        <w:rPr>
          <w:rFonts w:ascii="Arial Narrow" w:eastAsia="Calibri" w:hAnsi="Arial Narrow" w:cs="Arial"/>
        </w:rPr>
      </w:pPr>
    </w:p>
    <w:p w:rsidR="00A25852" w:rsidRPr="00DA70A6" w:rsidRDefault="00A25852" w:rsidP="008F7F6A">
      <w:pPr>
        <w:spacing w:line="360" w:lineRule="auto"/>
        <w:ind w:right="49"/>
        <w:contextualSpacing/>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Registro Estatal y de los Registros Municipales de Regulaciones</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43.</w:t>
      </w:r>
      <w:r w:rsidRPr="00DA70A6">
        <w:rPr>
          <w:rFonts w:ascii="Arial Narrow" w:eastAsia="Calibri" w:hAnsi="Arial Narrow" w:cs="Arial"/>
        </w:rPr>
        <w:t xml:space="preserve"> El Registro Estatal y</w:t>
      </w:r>
      <w:r w:rsidR="00A25852" w:rsidRPr="00DA70A6">
        <w:rPr>
          <w:rFonts w:ascii="Arial Narrow" w:eastAsia="Calibri" w:hAnsi="Arial Narrow" w:cs="Arial"/>
        </w:rPr>
        <w:t xml:space="preserve"> los </w:t>
      </w:r>
      <w:r w:rsidRPr="00DA70A6">
        <w:rPr>
          <w:rFonts w:ascii="Arial Narrow" w:eastAsia="Calibri" w:hAnsi="Arial Narrow" w:cs="Arial"/>
        </w:rPr>
        <w:t>Registros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Corresponde a la Secretaría de Gobierno, en coordinación con la Secretaría, la integración y administración del Registro Estatal de Regulaciones.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lastRenderedPageBreak/>
        <w:t>Los Sujetos Obligados serán los responsables de inscribir y actualizar permanentemente la información que les corresponde en el Registro Estatal de Regulaciones. Cuando exista una Regulación cuya aplicación no se atribuya a algún Sujeto Obligado específico, corresponderá a la Secretaría de Gobierno su registro y actualización.</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44.</w:t>
      </w:r>
      <w:r w:rsidRPr="00DA70A6">
        <w:rPr>
          <w:rFonts w:ascii="Arial Narrow" w:eastAsia="Calibri" w:hAnsi="Arial Narrow" w:cs="Arial"/>
        </w:rPr>
        <w:t xml:space="preserve">  El Registro Estatal y los Municipales de Regulaciones deberán contemplar para cada Regulación una ficha que contenga al menos la siguiente información:</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Nombre de la Regulación;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Fecha de expedición y, en su caso, de su vigencia;</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Autoridad o autoridades que la emiten;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Autoridad o autoridades que la aplican;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Fecha en que ha sido actualizada;</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Tipo de ordenamiento jurídico;</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Ámbito de aplicación;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Índice de la Regulación;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Objeto de la Regulación;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Materias, sectores y sujetos regulados;</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Trámites y Servicios relacionados con la Regulación;</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Identificación de fundamentos jurídicos para la realización de inspecciones, verificaciones y visitas domiciliarias; y</w:t>
      </w:r>
    </w:p>
    <w:p w:rsidR="008F7F6A" w:rsidRPr="00DA70A6" w:rsidRDefault="008F7F6A" w:rsidP="003243DB">
      <w:pPr>
        <w:numPr>
          <w:ilvl w:val="0"/>
          <w:numId w:val="44"/>
        </w:numPr>
        <w:spacing w:after="0" w:line="360" w:lineRule="auto"/>
        <w:ind w:left="681" w:right="51" w:hanging="284"/>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demás información que se prevea en la Estrategia.</w:t>
      </w:r>
    </w:p>
    <w:p w:rsidR="008F7F6A" w:rsidRPr="00DA70A6" w:rsidRDefault="008F7F6A" w:rsidP="008F7F6A">
      <w:pPr>
        <w:spacing w:after="0" w:line="360" w:lineRule="auto"/>
        <w:ind w:left="284"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En caso de que la Autoridad de Mejora Regulatoria identifique errores u omisiones en la información inscrita, efectuará un apercibimiento al Sujeto Obligado para que este subsane la información en un plazo que no deberá exceder de diez días.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En el supuesto de que algún municipio no cuente con los recursos para contar con una plataforma electrónica, mediante convenio podrán acordar con el estado el uso de su plataforma.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Registro Estatal y los Municipales de Trámites y Servicios</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45.</w:t>
      </w:r>
      <w:r w:rsidRPr="00DA70A6">
        <w:rPr>
          <w:rFonts w:ascii="Arial Narrow" w:eastAsia="Calibri" w:hAnsi="Arial Narrow" w:cs="Arial"/>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inscripción y actualización de los registros de Trámites y Servicios es de carácter permanente y obligatorio para todos los Sujetos Obligados.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Secretaría de Fiscalización en coordinación con la Secretaría será la responsable de administrar la información que los Sujetos Obligados de la Administración Pública Estatal inscriban en el Registro Estatal de Trámites y Servicios.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A partir del momento en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omisión o la falsedad de la información que los Sujetos Obligados inscriban en el registro de Trámites y Servicios serán sancionadas en términos de la Ley de Responsabilidades Administrativas.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46.</w:t>
      </w:r>
      <w:r w:rsidRPr="00DA70A6">
        <w:rPr>
          <w:rFonts w:ascii="Arial Narrow" w:eastAsia="Calibri" w:hAnsi="Arial Narrow" w:cs="Arial"/>
        </w:rPr>
        <w:t xml:space="preserve"> Los registros de Trámites y Servicios son:</w:t>
      </w:r>
    </w:p>
    <w:p w:rsidR="003243DB" w:rsidRPr="00DA70A6" w:rsidRDefault="003243DB"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Registro Federal de Trámites y Servicios;</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Registro Estatal de Trámites y Servicios;</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Registro Municipal de Trámites y Servicios;</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De los Poderes Legislativos y Judiciales del Estado;</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De los Órganos Constitucionales Autónomos;</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De los Órganos jurisdiccionales que no formen parte del Poder Judicial del Estado; y</w:t>
      </w:r>
    </w:p>
    <w:p w:rsidR="008F7F6A" w:rsidRPr="00DA70A6" w:rsidRDefault="008F7F6A" w:rsidP="008F7F6A">
      <w:pPr>
        <w:numPr>
          <w:ilvl w:val="0"/>
          <w:numId w:val="2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Los registros de los demás Sujetos Obligados, en caso de que no se encuentren comprendidos en alguna de las fracciones anteriores.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47.</w:t>
      </w:r>
      <w:r w:rsidRPr="00DA70A6">
        <w:rPr>
          <w:rFonts w:ascii="Arial Narrow" w:eastAsia="Calibri" w:hAnsi="Arial Narrow" w:cs="Arial"/>
        </w:rPr>
        <w:t xml:space="preserve"> La legislación o normatividad de los registros de Trámites y Servicios se ajustará a lo previsto en esta Ley y sus disposiciones reglamentarias.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48.</w:t>
      </w:r>
      <w:r w:rsidRPr="00DA70A6">
        <w:rPr>
          <w:rFonts w:ascii="Arial Narrow" w:eastAsia="Calibri" w:hAnsi="Arial Narrow" w:cs="Arial"/>
        </w:rPr>
        <w:t xml:space="preserve"> Los Sujetos Obligados deberán inscribir y mantener actualizada al menos la siguiente información y documentación de sus Trámites y Servicios dentro de la sección correspondiente: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Nombre y descripción del Trámite o Servicio; </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Modalidad;</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Fundamento jurídico de la existencia del Trámite o Servicio;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Descripción con lenguaje claro, sencillo y conciso de los casos en que debe o puede realizarse el Trámite o Servicio, y los pasos que debe llevar a cabo el particular para su realización;</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Especificar si el Trámite o Servicio debe presentarse mediante formato, escrito libre, ambos o puede solicitarse por otros medios;</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El formato correspondiente y la última fecha de publicación en el Medio de </w:t>
      </w:r>
      <w:r w:rsidRPr="00DA70A6">
        <w:rPr>
          <w:rFonts w:ascii="Arial Narrow" w:eastAsia="Times New Roman" w:hAnsi="Arial Narrow" w:cs="Arial"/>
          <w:lang w:eastAsia="es-ES"/>
        </w:rPr>
        <w:br/>
        <w:t>Difusión;</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En caso de requerir inspección o verificación, señalar el objetivo de la misma;</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Datos de contacto oficial del Sujeto Obligado responsable del Trámite o Servicio;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Plazo que tiene el Sujeto Obligado para resolver el Trámite o Servicio y, en su caso, si aplica la afirmativa o la negativa ficta;</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plazo con el que cuenta el Sujeto Obligado para prevenir al solicitante y el plazo con el que cuenta el solicitante para cumplir con la prevención;</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Monto de los derechos o aprovechamientos aplicables, en su caso, o la forma de determinar dicho monto, así como las alternativas para realizar el pago;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Vigencia de los avisos, permisos, licencias, autorizaciones, registros y demás resoluciones que se emitan;</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Criterios de resolución del Trámite o Servicio, en su caso;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Todas las unidades administrativas ante las que se puede presentar el Trámite o solicitar el Servicio, incluyendo su domicilio;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Horarios de atención al público;</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Números de teléfono y medios electrónicos de comunicación, así como el domicilio y demás datos relativos a cualquier otro medio que permita el envío de consultas, documentos y quejas;</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información que deberá conservar para fines de acreditación, inspección y verificación con motivo del Trámite o Servicio; y</w:t>
      </w:r>
    </w:p>
    <w:p w:rsidR="008F7F6A" w:rsidRPr="00DA70A6" w:rsidRDefault="008F7F6A" w:rsidP="008F7F6A">
      <w:pPr>
        <w:numPr>
          <w:ilvl w:val="0"/>
          <w:numId w:val="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demás información que se prevea en la Estrategia.</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que puedan ser aplicables los Trámites y Servicios es indispensable que estos contengan toda la información prevista en el presente artículo y se encuentren debidamente inscritos en el Catálogo.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la información a que se refieren las fracciones V, VI, VIII, X, XI, XII, XIII, XIV y XVIII, los Sujetos Obligados deberán establecer el fundamento jurídico aplicable, relacionándolo con la Regulación inscrita en el Registro Nacional y Estatal de Regulaciones.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49. </w:t>
      </w:r>
      <w:r w:rsidRPr="00DA70A6">
        <w:rPr>
          <w:rFonts w:ascii="Arial Narrow" w:eastAsia="Calibri" w:hAnsi="Arial Narrow" w:cs="Arial"/>
        </w:rPr>
        <w:t>Los Sujetos Obligados deberán inscribir en el Registro la información a que se refiere el artículo anterior y la Secretaría de Fiscalización, dentro de los cinco días hábiles siguientes, deberá efectuar la publicación sin cambio alguno, siempre que la disposición que dé fundamento a la actualización de la información contenida en el Catálogo se encuentre vigente. En caso contrario, la Secretaría de Fiscalización no podrá efectuar la publicación correspondiente sino hasta la entrada en vigor de la disposición que fundamente la modificación del Catálogo.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deberán inscribir o modificar la información en el Catálogo dentro de los diez días siguientes a que se publique en el Medio de difusión estatal.</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que apliquen Trámites y Servicios deberán tener a disposición del público la información que al respecto esté inscrita en el Catálogo.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50.</w:t>
      </w:r>
      <w:r w:rsidRPr="00DA70A6">
        <w:rPr>
          <w:rFonts w:ascii="Arial Narrow" w:eastAsia="Calibri" w:hAnsi="Arial Narrow" w:cs="Arial"/>
        </w:rPr>
        <w:t xml:space="preserve"> Los Sujetos Obligados no podrán aplicar Trámites o Servicios adicionales a los establecidos en el Catálogo, ni podrán exigir requisitos adicionales en forma distinta a como se inscriban en el mismo, a menos que: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0"/>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existencia del Trámite o Servicio sea por única ocasión y no exceda los sesenta días; o</w:t>
      </w:r>
    </w:p>
    <w:p w:rsidR="008F7F6A" w:rsidRPr="00DA70A6" w:rsidRDefault="008F7F6A" w:rsidP="008F7F6A">
      <w:pPr>
        <w:numPr>
          <w:ilvl w:val="0"/>
          <w:numId w:val="30"/>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Respecto de los cuales se pueda causar perjuicio a terceros con interés jurídico. </w:t>
      </w:r>
    </w:p>
    <w:p w:rsidR="00A25852" w:rsidRPr="00DA70A6" w:rsidRDefault="00A25852"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En los supuestos a los que se refieren las fracciones I y II del presente artículo, los Sujetos Obligados deberán dar aviso previo a la Autoridad de Mejora Regulatoria.</w:t>
      </w: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strike/>
        </w:rPr>
      </w:pPr>
      <w:r w:rsidRPr="00DA70A6">
        <w:rPr>
          <w:rFonts w:ascii="Arial Narrow" w:eastAsia="Calibri" w:hAnsi="Arial Narrow" w:cs="Arial"/>
        </w:rPr>
        <w:t>En caso de incumplimiento del primer párrafo del presente artículo, la Autoridad de Mejora Regulatoria correspondiente dará vista a las autoridades competentes en la investigación, de responsabilidades administrativas y, en su caso, de hechos de corrupción.</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51</w:t>
      </w:r>
      <w:r w:rsidRPr="00DA70A6">
        <w:rPr>
          <w:rFonts w:ascii="Arial Narrow" w:eastAsia="Calibri" w:hAnsi="Arial Narrow" w:cs="Arial"/>
        </w:rPr>
        <w:t>. En el caso de los municipios que no cuenten con los recursos para tener una plataforma electrónica que contenga su Registro de Trámites y Servicios, mediante convenio podrán acordar con el Estado el uso de su plataforma.</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IV</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Expediente para Trámites y Servicios</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52.</w:t>
      </w:r>
      <w:r w:rsidRPr="00DA70A6">
        <w:rPr>
          <w:rFonts w:ascii="Arial Narrow" w:eastAsia="Calibri" w:hAnsi="Arial Narrow" w:cs="Arial"/>
        </w:rPr>
        <w:t xml:space="preserve"> El Expediente para Trámites y Servicios operará conforme a los lineamientos que aprueben el Consejo Nacional y el Consejo Estatal, deberá considerar mecanismos confiables de seguridad, disponibilidad,</w:t>
      </w:r>
      <w:r w:rsidR="00A25852" w:rsidRPr="00DA70A6">
        <w:rPr>
          <w:rFonts w:ascii="Arial Narrow" w:eastAsia="Calibri" w:hAnsi="Arial Narrow" w:cs="Arial"/>
        </w:rPr>
        <w:t xml:space="preserve"> </w:t>
      </w:r>
      <w:r w:rsidRPr="00DA70A6">
        <w:rPr>
          <w:rFonts w:ascii="Arial Narrow" w:eastAsia="Calibri" w:hAnsi="Arial Narrow" w:cs="Arial"/>
        </w:rPr>
        <w:t>integridad, autenticidad, confidencialidad y custodia.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53.</w:t>
      </w:r>
      <w:r w:rsidRPr="00DA70A6">
        <w:rPr>
          <w:rFonts w:ascii="Arial Narrow" w:eastAsia="Calibri" w:hAnsi="Arial Narrow" w:cs="Arial"/>
        </w:rPr>
        <w:t xml:space="preserve"> Los Sujetos Obligados no podrán solicitar información que ya </w:t>
      </w:r>
      <w:proofErr w:type="gramStart"/>
      <w:r w:rsidRPr="00DA70A6">
        <w:rPr>
          <w:rFonts w:ascii="Arial Narrow" w:eastAsia="Calibri" w:hAnsi="Arial Narrow" w:cs="Arial"/>
        </w:rPr>
        <w:t>conste</w:t>
      </w:r>
      <w:proofErr w:type="gramEnd"/>
      <w:r w:rsidRPr="00DA70A6">
        <w:rPr>
          <w:rFonts w:ascii="Arial Narrow" w:eastAsia="Calibri" w:hAnsi="Arial Narrow" w:cs="Arial"/>
        </w:rPr>
        <w:t xml:space="preserve"> en el Expediente de Trámites y Servicios, ni podrán requerir documentación que tengan en su poder. Solo podrán solicitar aquella información y documentación particular o adicional, que esté prevista en el Catálogo.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54.</w:t>
      </w:r>
      <w:r w:rsidRPr="00DA70A6">
        <w:rPr>
          <w:rFonts w:ascii="Arial Narrow" w:eastAsia="Calibri" w:hAnsi="Arial Narrow" w:cs="Arial"/>
        </w:rPr>
        <w:t xml:space="preserve"> Los documentos electrónicos que integren los Sujetos Obligados al 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55.</w:t>
      </w:r>
      <w:r w:rsidRPr="00DA70A6">
        <w:rPr>
          <w:rFonts w:ascii="Arial Narrow" w:eastAsia="Calibri" w:hAnsi="Arial Narrow" w:cs="Arial"/>
        </w:rPr>
        <w:t xml:space="preserve"> Los Sujetos Obligados integrarán al Expediente para Trámites y Servicios, los documentos firmados autógrafamente cuando se encuentre en su poder el documento original y se cumpla con lo siguiente: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la migración a una forma digital haya sido realizada o supervisada por un servidor público que cuente con facultades de certificación de documentos en términos de las disposiciones aplicables;</w:t>
      </w:r>
    </w:p>
    <w:p w:rsidR="008F7F6A" w:rsidRPr="00DA70A6" w:rsidRDefault="008F7F6A" w:rsidP="008F7F6A">
      <w:pPr>
        <w:numPr>
          <w:ilvl w:val="0"/>
          <w:numId w:val="3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la información contenida en el documento electrónico se mantenga íntegra e inalterada a partir del momento en que se generó por primera vez en su forma definitiva y sea accesible para su ulterior consulta;</w:t>
      </w:r>
    </w:p>
    <w:p w:rsidR="008F7F6A" w:rsidRPr="00DA70A6" w:rsidRDefault="008F7F6A" w:rsidP="008F7F6A">
      <w:pPr>
        <w:numPr>
          <w:ilvl w:val="0"/>
          <w:numId w:val="3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el documento electrónico permita conservar el formato del documento impreso y reproducirlo con exactitud; y</w:t>
      </w:r>
    </w:p>
    <w:p w:rsidR="008F7F6A" w:rsidRPr="00DA70A6" w:rsidRDefault="008F7F6A" w:rsidP="008F7F6A">
      <w:pPr>
        <w:numPr>
          <w:ilvl w:val="0"/>
          <w:numId w:val="31"/>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cuente con la Firma Electrónica Avanzada del servidor público al que se refiere la fracción I de este artículo.</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56.</w:t>
      </w:r>
      <w:r w:rsidRPr="00DA70A6">
        <w:rPr>
          <w:rFonts w:ascii="Arial Narrow" w:eastAsia="Calibri" w:hAnsi="Arial Narrow" w:cs="Arial"/>
        </w:rPr>
        <w:t xml:space="preserve"> Para efectos de esta Ley, tratándose de procedimientos administrativos relacionados con la apertura y operación de las empresas, el Expediente Electrónico Empresarial hará las veces del Expediente para Trámites y Servicios.</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Registro Estatal de Visitas Domiciliarias</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57.</w:t>
      </w:r>
      <w:r w:rsidRPr="00DA70A6">
        <w:rPr>
          <w:rFonts w:ascii="Arial Narrow" w:eastAsia="Calibri" w:hAnsi="Arial Narrow" w:cs="Arial"/>
        </w:rPr>
        <w:t xml:space="preserve"> El Registro Estatal de Visitas Domiciliarias se conforma por:</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padrón de inspectores, verificadores y visitadores en el ámbito administrativo;</w:t>
      </w:r>
    </w:p>
    <w:p w:rsidR="008F7F6A" w:rsidRPr="00DA70A6" w:rsidRDefault="008F7F6A" w:rsidP="008F7F6A">
      <w:pPr>
        <w:numPr>
          <w:ilvl w:val="0"/>
          <w:numId w:val="3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listado de inspecciones, verificaciones y visitas domiciliarias que puedan realizar los Sujetos Obligados;</w:t>
      </w:r>
    </w:p>
    <w:p w:rsidR="008F7F6A" w:rsidRPr="00DA70A6" w:rsidRDefault="008F7F6A" w:rsidP="008F7F6A">
      <w:pPr>
        <w:numPr>
          <w:ilvl w:val="0"/>
          <w:numId w:val="3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números telefónicos de los órganos internos de control del Sujeto Obligado al que pertenezcan los inspectores, verificadores y visitadores respectivos para realizar denuncias;</w:t>
      </w:r>
    </w:p>
    <w:p w:rsidR="008F7F6A" w:rsidRPr="00DA70A6" w:rsidRDefault="008F7F6A" w:rsidP="008F7F6A">
      <w:pPr>
        <w:numPr>
          <w:ilvl w:val="0"/>
          <w:numId w:val="3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Los números telefónicos de las autoridades competentes encargadas de ordenar inspecciones, verificaciones y visitas domiciliarias. Lo anterior, con la finalidad de </w:t>
      </w:r>
      <w:proofErr w:type="gramStart"/>
      <w:r w:rsidRPr="00DA70A6">
        <w:rPr>
          <w:rFonts w:ascii="Arial Narrow" w:eastAsia="Times New Roman" w:hAnsi="Arial Narrow" w:cs="Arial"/>
          <w:lang w:eastAsia="es-ES"/>
        </w:rPr>
        <w:t>que  las</w:t>
      </w:r>
      <w:proofErr w:type="gramEnd"/>
      <w:r w:rsidRPr="00DA70A6">
        <w:rPr>
          <w:rFonts w:ascii="Arial Narrow" w:eastAsia="Times New Roman" w:hAnsi="Arial Narrow" w:cs="Arial"/>
          <w:lang w:eastAsia="es-ES"/>
        </w:rPr>
        <w:t xml:space="preserve">  personas  a  las  cuales  se  realizan  las  inspecciones, verificaciones y visitas domiciliarias puedan cerciorarse de la veracidad de las mismas; y</w:t>
      </w:r>
    </w:p>
    <w:p w:rsidR="008F7F6A" w:rsidRPr="00DA70A6" w:rsidRDefault="008F7F6A" w:rsidP="008F7F6A">
      <w:pPr>
        <w:numPr>
          <w:ilvl w:val="0"/>
          <w:numId w:val="32"/>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información que se determine en los lineamientos que al efecto expidan el Consejo Nacional y el Consejo Estatal.</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58.</w:t>
      </w:r>
      <w:r w:rsidRPr="00DA70A6">
        <w:rPr>
          <w:rFonts w:ascii="Arial Narrow" w:eastAsia="Calibri" w:hAnsi="Arial Narrow" w:cs="Arial"/>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serán los encargados de inscribir en el Padrón, a los servidores públicos a que se refiere el presente artículo.</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59.</w:t>
      </w:r>
      <w:r w:rsidRPr="00DA70A6">
        <w:rPr>
          <w:rFonts w:ascii="Arial Narrow" w:eastAsia="Calibri" w:hAnsi="Arial Narrow" w:cs="Arial"/>
        </w:rPr>
        <w:t xml:space="preserve"> Lo dispuesto en este capítulo no será aplicable a aquellas inspecciones, verificaciones o visitas domiciliarias requeridas para atender situaciones de emergencia.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60.</w:t>
      </w:r>
      <w:r w:rsidRPr="00DA70A6">
        <w:rPr>
          <w:rFonts w:ascii="Arial Narrow" w:eastAsia="Calibri" w:hAnsi="Arial Narrow" w:cs="Arial"/>
        </w:rPr>
        <w:t xml:space="preserve"> 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En caso de que la Autoridad de Mejora Regulatoria identifique errores u omisiones en la información proporcionada, lo comunicará al Sujeto Obligado en un plazo de cinco días hábiles.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 Protesta Ciudadana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61.</w:t>
      </w:r>
      <w:r w:rsidRPr="00DA70A6">
        <w:rPr>
          <w:rFonts w:ascii="Arial Narrow" w:eastAsia="Calibri" w:hAnsi="Arial Narrow" w:cs="Arial"/>
        </w:rPr>
        <w:t xml:space="preserve"> El solicitante podrá presentar una Protesta Ciudadana cuando con acciones u omisiones</w:t>
      </w:r>
      <w:ins w:id="0" w:author="Consejería Jurídica" w:date="2020-02-13T14:23:00Z">
        <w:r w:rsidRPr="00DA70A6">
          <w:rPr>
            <w:rFonts w:ascii="Arial Narrow" w:eastAsia="Calibri" w:hAnsi="Arial Narrow" w:cs="Arial"/>
          </w:rPr>
          <w:t>,</w:t>
        </w:r>
      </w:ins>
      <w:r w:rsidRPr="00DA70A6">
        <w:rPr>
          <w:rFonts w:ascii="Arial Narrow" w:eastAsia="Calibri" w:hAnsi="Arial Narrow" w:cs="Arial"/>
        </w:rPr>
        <w:t xml:space="preserve"> el servidor público encargado del Trámite o Servicio niegue la gestión sin causa justificada, altere o incumpla con las fracciones V, VI, VIII, IX, X, XI, XII, XIII, XIV, XV, XVI, XVII y XVIII del artículo 48 de esta Ley.</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62.</w:t>
      </w:r>
      <w:r w:rsidRPr="00DA70A6">
        <w:rPr>
          <w:rFonts w:ascii="Arial Narrow" w:eastAsia="Calibri" w:hAnsi="Arial Narrow" w:cs="Arial"/>
        </w:rPr>
        <w:t xml:space="preserve"> La Secretaría y Comisiones municipales dispondrán lo necesario para que las personas puedan presentar la Protesta Ciudadana tanto de manera presencial como electrónica.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procedimiento de la Protesta Ciudadana se regulará conforme a los lineamientos que emita el Consejo Nacional.</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Agenda Regulatoria</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63.</w:t>
      </w:r>
      <w:r w:rsidRPr="00DA70A6">
        <w:rPr>
          <w:rFonts w:ascii="Arial Narrow" w:eastAsia="Calibri" w:hAnsi="Arial Narrow" w:cs="Arial"/>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64.</w:t>
      </w:r>
      <w:r w:rsidRPr="00DA70A6">
        <w:rPr>
          <w:rFonts w:ascii="Arial Narrow" w:eastAsia="Calibri" w:hAnsi="Arial Narrow" w:cs="Arial"/>
        </w:rPr>
        <w:t xml:space="preserve"> La Agenda Regulatoria de los Sujetos Obligados deberá incluir al menos: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Nombre preliminar de la Propuesta Regulatoria;</w:t>
      </w:r>
    </w:p>
    <w:p w:rsidR="008F7F6A" w:rsidRPr="00DA70A6" w:rsidRDefault="008F7F6A" w:rsidP="008F7F6A">
      <w:pPr>
        <w:numPr>
          <w:ilvl w:val="0"/>
          <w:numId w:val="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Materia sobre la que versará la Regulación;</w:t>
      </w:r>
    </w:p>
    <w:p w:rsidR="008F7F6A" w:rsidRPr="00DA70A6" w:rsidRDefault="008F7F6A" w:rsidP="008F7F6A">
      <w:pPr>
        <w:numPr>
          <w:ilvl w:val="0"/>
          <w:numId w:val="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Problemática que se pretende resolver con la Propuesta Regulatoria;</w:t>
      </w:r>
    </w:p>
    <w:p w:rsidR="008F7F6A" w:rsidRPr="00DA70A6" w:rsidRDefault="008F7F6A" w:rsidP="008F7F6A">
      <w:pPr>
        <w:numPr>
          <w:ilvl w:val="0"/>
          <w:numId w:val="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Justificación para emitir la Propuesta Regulatoria; y</w:t>
      </w:r>
    </w:p>
    <w:p w:rsidR="008F7F6A" w:rsidRPr="00DA70A6" w:rsidRDefault="008F7F6A" w:rsidP="008F7F6A">
      <w:pPr>
        <w:numPr>
          <w:ilvl w:val="0"/>
          <w:numId w:val="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Fecha tentativa de presentación.</w:t>
      </w:r>
    </w:p>
    <w:p w:rsidR="00A25852" w:rsidRPr="00DA70A6" w:rsidRDefault="00A25852"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65.</w:t>
      </w:r>
      <w:r w:rsidRPr="00DA70A6">
        <w:rPr>
          <w:rFonts w:ascii="Arial Narrow" w:eastAsia="Calibri" w:hAnsi="Arial Narrow" w:cs="Arial"/>
        </w:rPr>
        <w:t xml:space="preserve"> Lo dispuesto en el artículo precedente no será aplicable en los siguientes supuestos: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La Propuesta Regulatoria pretenda resolver o prevenir una situación de emergencia no prevista, fortuita e inminente;</w:t>
      </w:r>
    </w:p>
    <w:p w:rsidR="008F7F6A" w:rsidRPr="00DA70A6" w:rsidRDefault="008F7F6A" w:rsidP="008F7F6A">
      <w:pPr>
        <w:numPr>
          <w:ilvl w:val="0"/>
          <w:numId w:val="3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 publicidad de la Propuesta Regulatoria o la materia que contiene pueda comprometer los efectos que se pretenden lograr con su expedición;</w:t>
      </w:r>
    </w:p>
    <w:p w:rsidR="008F7F6A" w:rsidRPr="00DA70A6" w:rsidRDefault="008F7F6A" w:rsidP="008F7F6A">
      <w:pPr>
        <w:numPr>
          <w:ilvl w:val="0"/>
          <w:numId w:val="3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Sujetos Obligados demuestren a la Autoridad de Mejora Regulatoria que la expedición de la Propuesta Regulatoria no generará costos de cumplimiento;</w:t>
      </w:r>
    </w:p>
    <w:p w:rsidR="008F7F6A" w:rsidRPr="00DA70A6" w:rsidRDefault="008F7F6A" w:rsidP="008F7F6A">
      <w:pPr>
        <w:numPr>
          <w:ilvl w:val="0"/>
          <w:numId w:val="3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Sujetos Obligados demuestren a la Autoridad de Mejora Regulatoria que la expedición de la Propuesta Regulatoria representará una mejora sustancial que reduzca los costos de cumplimiento previstos por la Regulación vigente, simplifique Trámites o Servicios, o ambas; y</w:t>
      </w:r>
    </w:p>
    <w:p w:rsidR="008F7F6A" w:rsidRPr="00DA70A6" w:rsidRDefault="008F7F6A" w:rsidP="008F7F6A">
      <w:pPr>
        <w:numPr>
          <w:ilvl w:val="0"/>
          <w:numId w:val="33"/>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Propuestas Regulatorias que sean emitidas directamente por el titular del poder ejecutivo en los órdenes de gobierno estatal y municipal.</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A25852" w:rsidRPr="00DA70A6" w:rsidRDefault="00A25852"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VIII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Del Análisis de Impacto Regulatorio</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66.</w:t>
      </w:r>
      <w:r w:rsidRPr="00DA70A6">
        <w:rPr>
          <w:rFonts w:ascii="Arial Narrow" w:eastAsia="Calibri" w:hAnsi="Arial Narrow" w:cs="Arial"/>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finalidad del Análisis de Impacto Regulatorio es garantizar que las Regulaciones salvaguarden el interés general, considerando los impactos o riesgos de la actividad a regular, así como las condiciones institucionales de los Sujetos Obligados.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rsidR="00A25852" w:rsidRPr="00DA70A6" w:rsidRDefault="00A25852"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67.</w:t>
      </w:r>
      <w:r w:rsidRPr="00DA70A6">
        <w:rPr>
          <w:rFonts w:ascii="Arial Narrow" w:eastAsia="Calibri" w:hAnsi="Arial Narrow" w:cs="Arial"/>
        </w:rPr>
        <w:t xml:space="preserve"> Los procesos de revisión y diseño de las Regulaciones y Propuestas </w:t>
      </w:r>
      <w:r w:rsidRPr="00DA70A6">
        <w:rPr>
          <w:rFonts w:ascii="Arial Narrow" w:eastAsia="Calibri" w:hAnsi="Arial Narrow" w:cs="Arial"/>
        </w:rPr>
        <w:br/>
        <w:t>Regulatorias, así como los Análisis de Impacto Regulatorio correspondientes, deberán enfocarse prioritariamente en contar con Regulaciones que cumplan con los siguientes propósitos: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generen el máximo beneficio para la sociedad con el menor costo posible;</w:t>
      </w: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Que sus impactos resulten proporcionales para el problema que se busca resolver y para los sujetos regulados a los que se aplican;</w:t>
      </w: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promuevan la coherencia de políticas públicas;</w:t>
      </w: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mejoren la coordinación entre poderes y órdenes de gobierno;</w:t>
      </w: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 xml:space="preserve">Que fortalezcan las condiciones sobre los consumidores y sus derechos, las micro, pequeñas y medianas empresas, la libre concurrencia y la competencia económica, el comercio exterior y los derechos humanos, entre otros; </w:t>
      </w:r>
    </w:p>
    <w:p w:rsidR="008F7F6A" w:rsidRPr="00DA70A6" w:rsidRDefault="008F7F6A" w:rsidP="008F7F6A">
      <w:pPr>
        <w:numPr>
          <w:ilvl w:val="0"/>
          <w:numId w:val="34"/>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Que impulsen la atención de situaciones de riesgo mediante herramientas proporcionales a su impacto esperado.</w:t>
      </w:r>
    </w:p>
    <w:p w:rsidR="008F7F6A" w:rsidRPr="00DA70A6" w:rsidRDefault="008F7F6A" w:rsidP="00A25852">
      <w:pPr>
        <w:numPr>
          <w:ilvl w:val="0"/>
          <w:numId w:val="34"/>
        </w:numPr>
        <w:spacing w:after="0" w:line="360" w:lineRule="auto"/>
        <w:ind w:right="49"/>
        <w:contextualSpacing/>
        <w:jc w:val="both"/>
        <w:rPr>
          <w:rFonts w:ascii="Arial Narrow" w:eastAsia="Times New Roman" w:hAnsi="Arial Narrow" w:cs="Arial"/>
          <w:lang w:eastAsia="es-ES"/>
        </w:rPr>
      </w:pPr>
      <w:proofErr w:type="gramStart"/>
      <w:r w:rsidRPr="00DA70A6">
        <w:rPr>
          <w:rFonts w:ascii="Arial Narrow" w:eastAsia="Times New Roman" w:hAnsi="Arial Narrow" w:cs="Arial"/>
          <w:lang w:eastAsia="es-ES"/>
        </w:rPr>
        <w:t>Que</w:t>
      </w:r>
      <w:proofErr w:type="gramEnd"/>
      <w:r w:rsidRPr="00DA70A6">
        <w:rPr>
          <w:rFonts w:ascii="Arial Narrow" w:eastAsia="Times New Roman" w:hAnsi="Arial Narrow" w:cs="Arial"/>
          <w:lang w:eastAsia="es-ES"/>
        </w:rPr>
        <w:t xml:space="preserve"> de conformidad con la Estrategia Nacional de mejora regulatoria, los sujetos obligados de las diversas dependencias, al momento de emitir por cada una de las nuevas regulaciones, deberán abrogar o derogar tres obligaciones regulatorias o tres actos que se refieran a la misma materia o sector económico regulado.</w:t>
      </w: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Las Propuestas Regulatorias indicarán necesariamente la o las Regulaciones que pretenden abrogar, derogar o modificar. Lo anterior deberá quedar asentado en el Análisis de Impacto Regulatorio.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68.</w:t>
      </w:r>
      <w:r w:rsidRPr="00DA70A6">
        <w:rPr>
          <w:rFonts w:ascii="Arial Narrow" w:eastAsia="Calibri" w:hAnsi="Arial Narrow" w:cs="Arial"/>
        </w:rPr>
        <w:t xml:space="preserve"> El Análisis de Impacto Regulatorio deberá incluir, por lo menos los siguientes rubros:</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Exposición sucinta de las razones que generan la necesidad de crear nuevas regulaciones, o bien, reformarlas;</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Alternativas regulatorias y no regulatorias que se tomaron en cuenta para arribar a la propuesta de crear o reformar las regulaciones de que se trate justificando porque la propuesta actual es la mejor alternativa;</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Problemas que la actual regulación genera y cómo el proyecto de nueva regulación o su forma plantea resolverlos;</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Posibles riesgos que se correrían de no emitir las regulaciones propuestas;</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Fundamento jurídico que da sustento al proyecto y la congruencia de la regulación propuestas con el ordenamiento jurídico vigente;</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Beneficios y costos cuantificables que generaría la regulación propuesta y aquellos que resulten aplicables para los particulares;</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Identificación y descripción de los trámites eliminados, reformados y/o generados con la regulación propuesta;</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Recursos para asegurar el cumplimiento de la regulación, así como los mecanismos, metodologías e indicadores que serán de utilidad para la evaluación de la implementación, verificación e inspección de la propuesta regulatoria;</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w:t>
      </w:r>
    </w:p>
    <w:p w:rsidR="008F7F6A" w:rsidRPr="00DA70A6" w:rsidRDefault="008F7F6A" w:rsidP="008F7F6A">
      <w:pPr>
        <w:numPr>
          <w:ilvl w:val="0"/>
          <w:numId w:val="35"/>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demás que apruebe el Consejo.</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69</w:t>
      </w:r>
      <w:r w:rsidRPr="00DA70A6">
        <w:rPr>
          <w:rFonts w:ascii="Arial Narrow" w:eastAsia="Calibri" w:hAnsi="Arial Narrow" w:cs="Arial"/>
        </w:rPr>
        <w:t>. Para asegurar la consecución de los objetivos de esta Ley, los Sujetos Obligados adoptarán esquemas de revisión, mediante la utilización del Análisis de Impacto Regulatorio de: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Propuestas Regulatorias; y</w:t>
      </w:r>
    </w:p>
    <w:p w:rsidR="008F7F6A" w:rsidRPr="00DA70A6" w:rsidRDefault="008F7F6A" w:rsidP="008F7F6A">
      <w:pPr>
        <w:numPr>
          <w:ilvl w:val="0"/>
          <w:numId w:val="36"/>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Regulaciones existentes, a través del Análisis de Impacto Regulatorio ex post, conforme a las mejores prácticas internacionales.</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Asimismo, la Autoridad de Mejora Regulatoria podrá efectuar recomendaciones con el objeto de contribuir a cumplir con los objetivos relacionados con la Regulación, incluyendo propuestas de modificación al marco regulatorio aplicable.</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70.</w:t>
      </w:r>
      <w:r w:rsidRPr="00DA70A6">
        <w:rPr>
          <w:rFonts w:ascii="Arial Narrow" w:eastAsia="Calibri" w:hAnsi="Arial Narrow" w:cs="Arial"/>
        </w:rPr>
        <w:t xml:space="preserve"> Cuando los Sujetos Obligados elaboren Propuestas Regulatorias, las </w:t>
      </w:r>
      <w:r w:rsidRPr="00DA70A6">
        <w:rPr>
          <w:rFonts w:ascii="Arial Narrow" w:eastAsia="Calibri" w:hAnsi="Arial Narrow" w:cs="Arial"/>
        </w:rPr>
        <w:br/>
        <w:t xml:space="preserve">presentarán a la Autoridad de Mejora Regulatoria correspondiente, junto con un Análisis de Impacto Regulatorio que contenga los elementos que esta determine, atendiendo a lo dispuesto en el artículo 65 de esta Ley, cuando menos </w:t>
      </w:r>
      <w:r w:rsidRPr="00DA70A6">
        <w:rPr>
          <w:rFonts w:ascii="Arial Narrow" w:eastAsia="Calibri" w:hAnsi="Arial Narrow" w:cs="Arial"/>
        </w:rPr>
        <w:lastRenderedPageBreak/>
        <w:t>treinta días antes de la fecha en que pretendan publicarse en el Medio de Difusión Oficial o someterse a la consideración del Titular del Ejecutivo Estatal.</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71.</w:t>
      </w:r>
      <w:r w:rsidRPr="00DA70A6">
        <w:rPr>
          <w:rFonts w:ascii="Arial Narrow" w:eastAsia="Calibri" w:hAnsi="Arial Narrow" w:cs="Arial"/>
        </w:rPr>
        <w:t xml:space="preserve"> Cuando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72.</w:t>
      </w:r>
      <w:r w:rsidRPr="00DA70A6">
        <w:rPr>
          <w:rFonts w:ascii="Arial Narrow" w:eastAsia="Calibri" w:hAnsi="Arial Narrow" w:cs="Arial"/>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podrán solicitar a la Autoridad de Mejora Regulatoria correspondiente</w:t>
      </w:r>
      <w:r w:rsidR="00A25852" w:rsidRPr="00DA70A6">
        <w:rPr>
          <w:rFonts w:ascii="Arial Narrow" w:eastAsia="Calibri" w:hAnsi="Arial Narrow" w:cs="Arial"/>
        </w:rPr>
        <w:t>,</w:t>
      </w:r>
      <w:r w:rsidRPr="00DA70A6">
        <w:rPr>
          <w:rFonts w:ascii="Arial Narrow" w:eastAsia="Calibri" w:hAnsi="Arial Narrow" w:cs="Arial"/>
        </w:rPr>
        <w:t xml:space="preserve"> la aplicación de plazos mínimos de consulta pública menores a los previstos en esta Ley, conforme a los lineamientos que para tal efecto emitan.</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73.</w:t>
      </w:r>
      <w:r w:rsidRPr="00DA70A6">
        <w:rPr>
          <w:rFonts w:ascii="Arial Narrow" w:eastAsia="Calibri" w:hAnsi="Arial Narrow" w:cs="Arial"/>
        </w:rPr>
        <w:t xml:space="preserve"> Cuando a solicitud de un Sujeto Obligado, la Autoridad de Mejora 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lastRenderedPageBreak/>
        <w:t xml:space="preserve">También se aplicará esta regla cuando, previa opinión de aquellas, se pretendan someter a la consideración del Titular del Ejecutivo Estatal, respecto de las propuestas regulatorias.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 anterior se aplicará sin perjuicio de los tratados internacionales de los que los Estados Unidos Mexicanos sea parte.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Cuando la Autoridad de Mejora Regulatoria determine que la publicidad de la Propuesta Regulatoria no se ubica en alguno de los supuestos de excepción del párrafo anterior, se remitirá a lo dispuesto en el manual que a su efecto emita la Autoridad Estatal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74</w:t>
      </w:r>
      <w:r w:rsidRPr="00DA70A6">
        <w:rPr>
          <w:rFonts w:ascii="Arial Narrow" w:eastAsia="Calibri" w:hAnsi="Arial Narrow" w:cs="Arial"/>
        </w:rPr>
        <w:t>.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En caso de discrepancia entre el Sujeto Obligado y la Autoridad Estatal de Mejora Regulatoria, esta última resolverá, en </w:t>
      </w:r>
      <w:proofErr w:type="gramStart"/>
      <w:r w:rsidRPr="00DA70A6">
        <w:rPr>
          <w:rFonts w:ascii="Arial Narrow" w:eastAsia="Calibri" w:hAnsi="Arial Narrow" w:cs="Arial"/>
        </w:rPr>
        <w:t>definitiva</w:t>
      </w:r>
      <w:proofErr w:type="gramEnd"/>
      <w:r w:rsidRPr="00DA70A6">
        <w:rPr>
          <w:rFonts w:ascii="Arial Narrow" w:eastAsia="Calibri" w:hAnsi="Arial Narrow" w:cs="Arial"/>
        </w:rPr>
        <w:t xml:space="preserve"> dentro de los cinco días hábiles siguientes.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75.</w:t>
      </w:r>
      <w:r w:rsidRPr="00DA70A6">
        <w:rPr>
          <w:rFonts w:ascii="Arial Narrow" w:eastAsia="Calibri" w:hAnsi="Arial Narrow" w:cs="Arial"/>
        </w:rPr>
        <w:t xml:space="preserve"> 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 xml:space="preserve">El encargado de la Publicación del Boletín Oficial </w:t>
      </w:r>
      <w:proofErr w:type="spellStart"/>
      <w:r w:rsidRPr="00DA70A6">
        <w:rPr>
          <w:rFonts w:ascii="Arial Narrow" w:eastAsia="Calibri" w:hAnsi="Arial Narrow" w:cs="Arial"/>
        </w:rPr>
        <w:t>u</w:t>
      </w:r>
      <w:proofErr w:type="spellEnd"/>
      <w:r w:rsidRPr="00DA70A6">
        <w:rPr>
          <w:rFonts w:ascii="Arial Narrow" w:eastAsia="Calibri" w:hAnsi="Arial Narrow" w:cs="Arial"/>
        </w:rPr>
        <w:t xml:space="preserve">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76.</w:t>
      </w:r>
      <w:r w:rsidRPr="00DA70A6">
        <w:rPr>
          <w:rFonts w:ascii="Arial Narrow" w:eastAsia="Calibri" w:hAnsi="Arial Narrow" w:cs="Arial"/>
        </w:rPr>
        <w:t xml:space="preserve"> Los Sujetos Obligados deberán someter las Regulaciones que generen costos de cumplimiento, identificadas en el procedimiento a la que se refiere el artículo 68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el logro del mayor beneficio social de la Regulación sujeta a revisión, la Autoridad de Mejora Regulatoria correspondiente podrá proponer modificaciones al marco regulatorio vigente o acciones a los Sujetos Obligados correspondientes.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proceso de revisión al que hace referencia este artículo se realizará conforme a las disposiciones que al efecto emita la Autoridad de Mejora Regulatoria correspondiente.</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IX</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los Programas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77.</w:t>
      </w:r>
      <w:r w:rsidRPr="00DA70A6">
        <w:rPr>
          <w:rFonts w:ascii="Arial Narrow" w:eastAsia="Calibri" w:hAnsi="Arial Narrow" w:cs="Arial"/>
        </w:rPr>
        <w:t xml:space="preserve"> 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en relación con la Regulación, Trámites y Servicios que aplican, así como reportes periódicos sobre los avances correspondientes.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Autoridad Estatal de Mejora Regulatoria emitirá, considerando los lineamientos generales contenidos en la Estrategia Nacional, los lineamientos para establecer los calendarios, mecanismos, formularios e indicadores para la implementación de los Programas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78.</w:t>
      </w:r>
      <w:r w:rsidRPr="00DA70A6">
        <w:rPr>
          <w:rFonts w:ascii="Arial Narrow" w:eastAsia="Calibri" w:hAnsi="Arial Narrow" w:cs="Arial"/>
        </w:rPr>
        <w:t xml:space="preserve"> La Autoridad de Mejora Regulatoria, en el ámbito de sus respectivas competencias, podrá emitir opinión a los Sujetos Obligados con propuestas específicas para mejorar sus Regulaciones y simplificar sus Trámites y Servicios. </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79.</w:t>
      </w:r>
      <w:r w:rsidRPr="00DA70A6">
        <w:rPr>
          <w:rFonts w:ascii="Arial Narrow" w:eastAsia="Calibri" w:hAnsi="Arial Narrow" w:cs="Arial"/>
        </w:rPr>
        <w:t xml:space="preserve"> La Autoridad Estatal de Mejora Regulatoria difundirá los programas de mejora regulatoria para su consulta pública durante al menos treinta días hábiles a fin de recabar comentarios y propuestas de los interesados. Los Sujetos Obligados deberán valorar comentarios y propuestas para incorporarlas a sus Programas de Mejora Regulatoria o, en su defecto, manifestar las razones por las que no se considera factible su incorporación. </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 xml:space="preserve">Artículo 80. </w:t>
      </w:r>
      <w:r w:rsidRPr="00DA70A6">
        <w:rPr>
          <w:rFonts w:ascii="Arial Narrow" w:eastAsia="Calibri" w:hAnsi="Arial Narrow" w:cs="Arial"/>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Para el caso de Regulaciones los Sujetos Obligados únicamente podrán solicitar ajustes a los Programas de Mejora Regulatoria, siempre y cuando justifiquen dicha solicitud.</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Lo dispuesto en el presente artículo deberá sujetarse a la autorización previa de la Autoridad Estatal de Mejora Regulatoria, de conformidad con el objeto de esta Ley.</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lastRenderedPageBreak/>
        <w:t>Los órganos internos de control o equivalentes de cada Sujeto Obligado deberán, de conformidad con sus atribuciones, dar seguimiento al cumplimiento de los Programas de Mejora Regulatoria.</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81.</w:t>
      </w:r>
      <w:r w:rsidRPr="00DA70A6">
        <w:rPr>
          <w:rFonts w:ascii="Arial Narrow" w:eastAsia="Calibri" w:hAnsi="Arial Narrow" w:cs="Arial"/>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Habilitar el uso de herramientas electrónicas para la presentación de Trámites y Servicios;</w:t>
      </w:r>
    </w:p>
    <w:p w:rsidR="008F7F6A" w:rsidRPr="00DA70A6" w:rsidRDefault="008F7F6A" w:rsidP="008F7F6A">
      <w:pPr>
        <w:numPr>
          <w:ilvl w:val="0"/>
          <w:numId w:val="3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Establecer plazos de respuesta menores a los máximos previstos;</w:t>
      </w:r>
    </w:p>
    <w:p w:rsidR="008F7F6A" w:rsidRPr="00DA70A6" w:rsidRDefault="008F7F6A" w:rsidP="008F7F6A">
      <w:pPr>
        <w:numPr>
          <w:ilvl w:val="0"/>
          <w:numId w:val="3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Extender la vigencia de las resoluciones otorgadas por los Sujetos Obligados; y</w:t>
      </w:r>
    </w:p>
    <w:p w:rsidR="008F7F6A" w:rsidRPr="00DA70A6" w:rsidRDefault="008F7F6A" w:rsidP="008F7F6A">
      <w:pPr>
        <w:numPr>
          <w:ilvl w:val="0"/>
          <w:numId w:val="37"/>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No exigir la presentación de datos y documentos.</w:t>
      </w:r>
    </w:p>
    <w:p w:rsidR="008F7F6A" w:rsidRPr="00DA70A6" w:rsidRDefault="008F7F6A" w:rsidP="008F7F6A">
      <w:pPr>
        <w:spacing w:after="0" w:line="360" w:lineRule="auto"/>
        <w:ind w:right="49"/>
        <w:contextualSpacing/>
        <w:jc w:val="both"/>
        <w:rPr>
          <w:rFonts w:ascii="Arial Narrow" w:eastAsia="Times New Roman" w:hAnsi="Arial Narrow" w:cs="Arial"/>
          <w:lang w:eastAsia="es-ES"/>
        </w:rPr>
      </w:pPr>
    </w:p>
    <w:p w:rsidR="00A25852" w:rsidRPr="00DA70A6" w:rsidRDefault="00A25852" w:rsidP="008F7F6A">
      <w:pPr>
        <w:spacing w:after="0" w:line="360" w:lineRule="auto"/>
        <w:ind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X</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los Programas Específicos de Simplificación y Mejora Regulatoria</w:t>
      </w:r>
    </w:p>
    <w:p w:rsidR="008F7F6A" w:rsidRPr="00DA70A6" w:rsidRDefault="008F7F6A" w:rsidP="008F7F6A">
      <w:pPr>
        <w:spacing w:after="0" w:line="360" w:lineRule="auto"/>
        <w:ind w:right="49"/>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82.</w:t>
      </w:r>
      <w:r w:rsidRPr="00DA70A6">
        <w:rPr>
          <w:rFonts w:ascii="Arial Narrow" w:eastAsia="Calibri" w:hAnsi="Arial Narrow" w:cs="Arial"/>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En la creación y diseño de los Programas Específicos de Simplificación y Mejora Regulatoria, la Autoridad Estatal de Mejora Regulatoria tomará en cuenta la opinión de las autoridades competentes en la materia.</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83.</w:t>
      </w:r>
      <w:r w:rsidRPr="00DA70A6">
        <w:rPr>
          <w:rFonts w:ascii="Arial Narrow" w:eastAsia="Calibri" w:hAnsi="Arial Narrow" w:cs="Arial"/>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Definición de los estándares mínimos de mejora regulatoria que deberán ser aplicados por el Sujeto Obligado;</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El formato de solicitud que deberán presentar los Sujetos Obligados;</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Procedimiento a que se sujetará la solicitud, evaluación y otorgamiento de la certificación, especificando los plazos aplicables;</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Los criterios, indicadores y métricas para el otorgamiento de la certificación;</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lastRenderedPageBreak/>
        <w:t>Vigencia de la certificación;</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Supuestos para la revocación y renovación del certificado; y</w:t>
      </w:r>
    </w:p>
    <w:p w:rsidR="008F7F6A" w:rsidRPr="00DA70A6" w:rsidRDefault="008F7F6A" w:rsidP="008F7F6A">
      <w:pPr>
        <w:numPr>
          <w:ilvl w:val="0"/>
          <w:numId w:val="38"/>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Mecanismos de monitoreo y seguimiento.</w:t>
      </w:r>
    </w:p>
    <w:p w:rsidR="008F7F6A" w:rsidRPr="00DA70A6" w:rsidRDefault="008F7F6A" w:rsidP="008F7F6A">
      <w:pPr>
        <w:spacing w:after="0" w:line="360" w:lineRule="auto"/>
        <w:ind w:left="720" w:right="49"/>
        <w:contextualSpacing/>
        <w:jc w:val="both"/>
        <w:rPr>
          <w:rFonts w:ascii="Arial Narrow" w:eastAsia="Times New Roman" w:hAnsi="Arial Narrow" w:cs="Arial"/>
          <w:lang w:eastAsia="es-ES"/>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84.</w:t>
      </w:r>
      <w:r w:rsidRPr="00DA70A6">
        <w:rPr>
          <w:rFonts w:ascii="Arial Narrow" w:eastAsia="Calibri" w:hAnsi="Arial Narrow" w:cs="Arial"/>
        </w:rPr>
        <w:t xml:space="preserve"> Los Sujetos Obligados interesados en solicitar la certificación deberán cumplir con lo siguiente: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Proporcionar la información que resulte necesaria para determinar la procedencia, o no, de la certificación solicitada;</w:t>
      </w: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Brindar apoyo para la coordinación de agendas de trabajo, reuniones y entrevistas que resulten necesarias;</w:t>
      </w: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Brindar en todo momento facilidades para la ejecución de las inspecciones, verificaciones y visitas domiciliarias que, en su caso, tengan lugar;</w:t>
      </w: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Proporcionar información para el monitoreo y seguimiento del cumplimiento de los estándares mínimos de mejora regulatoria, misma que deberá estar debidamente respaldada y documentada;</w:t>
      </w: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Dar cumplimiento a los plazos para la solicitud, evaluación y otorgamiento de la certificación; y</w:t>
      </w:r>
    </w:p>
    <w:p w:rsidR="008F7F6A" w:rsidRPr="00DA70A6" w:rsidRDefault="008F7F6A" w:rsidP="008F7F6A">
      <w:pPr>
        <w:numPr>
          <w:ilvl w:val="0"/>
          <w:numId w:val="39"/>
        </w:numPr>
        <w:spacing w:after="0" w:line="360" w:lineRule="auto"/>
        <w:ind w:right="49"/>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Las demás que al efecto establezcan los lineamientos correspondientes.</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El incumplimiento de cualquiera de las fracciones previstas en este artículo será motivo suficiente para desechar la solicitud del Sujeto Obligado.</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85.</w:t>
      </w:r>
      <w:r w:rsidRPr="00DA70A6">
        <w:rPr>
          <w:rFonts w:ascii="Arial Narrow" w:eastAsia="Calibri" w:hAnsi="Arial Narrow" w:cs="Arial"/>
        </w:rPr>
        <w:t xml:space="preserve"> La Autoridad Estatal de Mejora Regulatoria publicará en su portal 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rsidR="008F7F6A" w:rsidRPr="00DA70A6" w:rsidRDefault="008F7F6A"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rPr>
        <w:t>La Secretaría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XI</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las Encuestas, Información Estadística y Evaluación en Materia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lastRenderedPageBreak/>
        <w:t>Artículo 86.</w:t>
      </w:r>
      <w:r w:rsidRPr="00DA70A6">
        <w:rPr>
          <w:rFonts w:ascii="Arial Narrow" w:eastAsia="Calibri" w:hAnsi="Arial Narrow" w:cs="Arial"/>
        </w:rPr>
        <w:t xml:space="preserve"> La autoridad de Mejora Regulatoria en el ámbito de su competencia, apoyará la implementación de las encuestas a las que se refiere el artículo 89 de la Ley General de Mejora Regulatoria, en coordinación con la CONAMER.</w:t>
      </w:r>
    </w:p>
    <w:p w:rsidR="00A25852" w:rsidRPr="00DA70A6" w:rsidRDefault="00A25852" w:rsidP="008F7F6A">
      <w:pPr>
        <w:spacing w:after="0" w:line="360" w:lineRule="auto"/>
        <w:ind w:right="49"/>
        <w:jc w:val="both"/>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87.</w:t>
      </w:r>
      <w:r w:rsidRPr="00DA70A6">
        <w:rPr>
          <w:rFonts w:ascii="Arial Narrow" w:eastAsia="Calibri" w:hAnsi="Arial Narrow" w:cs="Arial"/>
        </w:rPr>
        <w:t xml:space="preserve"> La Secretaría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w:t>
      </w:r>
    </w:p>
    <w:p w:rsidR="008F7F6A" w:rsidRPr="00DA70A6" w:rsidRDefault="008F7F6A" w:rsidP="008F7F6A">
      <w:pPr>
        <w:spacing w:after="0" w:line="360" w:lineRule="auto"/>
        <w:ind w:right="49"/>
        <w:jc w:val="both"/>
        <w:rPr>
          <w:rFonts w:ascii="Arial Narrow" w:eastAsia="Calibri" w:hAnsi="Arial Narrow" w:cs="Arial"/>
        </w:rPr>
      </w:pPr>
    </w:p>
    <w:p w:rsidR="00A25852" w:rsidRPr="00DA70A6" w:rsidRDefault="00A25852" w:rsidP="008F7F6A">
      <w:pPr>
        <w:spacing w:after="0" w:line="360" w:lineRule="auto"/>
        <w:ind w:right="49"/>
        <w:jc w:val="both"/>
        <w:rPr>
          <w:rFonts w:ascii="Arial Narrow" w:eastAsia="Calibri" w:hAnsi="Arial Narrow" w:cs="Arial"/>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TÍTULO CUARTO</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LAS RESPONSABILIDADES ADMINISTRATIVAS EN MATERIA DE MEJORA REGULATORIA</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Capítulo Único</w:t>
      </w:r>
    </w:p>
    <w:p w:rsidR="008F7F6A" w:rsidRPr="00DA70A6" w:rsidRDefault="008F7F6A" w:rsidP="008F7F6A">
      <w:pPr>
        <w:spacing w:after="0" w:line="360" w:lineRule="auto"/>
        <w:ind w:right="49"/>
        <w:jc w:val="center"/>
        <w:rPr>
          <w:rFonts w:ascii="Arial Narrow" w:eastAsia="Calibri" w:hAnsi="Arial Narrow" w:cs="Arial"/>
          <w:b/>
        </w:rPr>
      </w:pPr>
      <w:r w:rsidRPr="00DA70A6">
        <w:rPr>
          <w:rFonts w:ascii="Arial Narrow" w:eastAsia="Calibri" w:hAnsi="Arial Narrow" w:cs="Arial"/>
          <w:b/>
        </w:rPr>
        <w:t>De las Responsabilidades Administrativas de los Servidores Públicos</w:t>
      </w:r>
    </w:p>
    <w:p w:rsidR="008F7F6A" w:rsidRPr="00DA70A6" w:rsidRDefault="008F7F6A" w:rsidP="008F7F6A">
      <w:pPr>
        <w:spacing w:after="0" w:line="360" w:lineRule="auto"/>
        <w:ind w:right="49"/>
        <w:jc w:val="center"/>
        <w:rPr>
          <w:rFonts w:ascii="Arial Narrow" w:eastAsia="Calibri" w:hAnsi="Arial Narrow" w:cs="Arial"/>
          <w:b/>
        </w:rPr>
      </w:pPr>
    </w:p>
    <w:p w:rsidR="008F7F6A" w:rsidRPr="00DA70A6" w:rsidRDefault="008F7F6A" w:rsidP="008F7F6A">
      <w:pPr>
        <w:spacing w:after="0" w:line="360" w:lineRule="auto"/>
        <w:ind w:right="49"/>
        <w:jc w:val="both"/>
        <w:rPr>
          <w:rFonts w:ascii="Arial Narrow" w:eastAsia="Calibri" w:hAnsi="Arial Narrow" w:cs="Arial"/>
        </w:rPr>
      </w:pPr>
      <w:r w:rsidRPr="00DA70A6">
        <w:rPr>
          <w:rFonts w:ascii="Arial Narrow" w:eastAsia="Calibri" w:hAnsi="Arial Narrow" w:cs="Arial"/>
          <w:b/>
        </w:rPr>
        <w:t>Artículo 88.</w:t>
      </w:r>
      <w:r w:rsidRPr="00DA70A6">
        <w:rPr>
          <w:rFonts w:ascii="Arial Narrow" w:eastAsia="Calibri" w:hAnsi="Arial Narrow" w:cs="Arial"/>
        </w:rPr>
        <w:t xml:space="preserve"> El incumplimiento de las obligaciones establecidas por la presente Ley, por parte de los servidores públicos de los órdenes de gobierno será sancionado en términos de la Ley General de Responsabilidades Administrativas.</w:t>
      </w:r>
    </w:p>
    <w:p w:rsidR="008F7F6A" w:rsidRPr="00DA70A6" w:rsidRDefault="008F7F6A" w:rsidP="008F7F6A">
      <w:pPr>
        <w:spacing w:after="0" w:line="360" w:lineRule="auto"/>
        <w:ind w:right="49"/>
        <w:jc w:val="both"/>
        <w:rPr>
          <w:rFonts w:ascii="Arial Narrow" w:eastAsia="Calibri" w:hAnsi="Arial Narrow" w:cs="Arial"/>
          <w:b/>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Artículo 89.</w:t>
      </w:r>
      <w:r w:rsidRPr="00DA70A6">
        <w:rPr>
          <w:rFonts w:ascii="Arial Narrow" w:eastAsia="Calibri" w:hAnsi="Arial Narrow" w:cs="Arial"/>
        </w:rPr>
        <w:t xml:space="preserve"> La Autoridad de Mejora Regulatoria deberá informar a las autoridades que resulten competentes en la investigación de responsabilidades administrativas y hechos de corrupción, de los incumplimientos que tenga conocimiento.</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jc w:val="center"/>
        <w:rPr>
          <w:rFonts w:ascii="Arial Narrow" w:eastAsia="Calibri" w:hAnsi="Arial Narrow" w:cs="Arial"/>
          <w:b/>
          <w:lang w:val="en-US"/>
        </w:rPr>
      </w:pPr>
      <w:r w:rsidRPr="00DA70A6">
        <w:rPr>
          <w:rFonts w:ascii="Arial Narrow" w:eastAsia="Calibri" w:hAnsi="Arial Narrow" w:cs="Arial"/>
          <w:b/>
          <w:lang w:val="en-US"/>
        </w:rPr>
        <w:t xml:space="preserve">T R </w:t>
      </w:r>
      <w:proofErr w:type="gramStart"/>
      <w:r w:rsidRPr="00DA70A6">
        <w:rPr>
          <w:rFonts w:ascii="Arial Narrow" w:eastAsia="Calibri" w:hAnsi="Arial Narrow" w:cs="Arial"/>
          <w:b/>
          <w:lang w:val="en-US"/>
        </w:rPr>
        <w:t>A</w:t>
      </w:r>
      <w:proofErr w:type="gramEnd"/>
      <w:r w:rsidRPr="00DA70A6">
        <w:rPr>
          <w:rFonts w:ascii="Arial Narrow" w:eastAsia="Calibri" w:hAnsi="Arial Narrow" w:cs="Arial"/>
          <w:b/>
          <w:lang w:val="en-US"/>
        </w:rPr>
        <w:t xml:space="preserve"> N S I T O R I O S</w:t>
      </w:r>
    </w:p>
    <w:p w:rsidR="008F7F6A" w:rsidRPr="00DA70A6" w:rsidRDefault="008F7F6A" w:rsidP="00436ED1">
      <w:pPr>
        <w:spacing w:after="0" w:line="300" w:lineRule="exact"/>
        <w:ind w:right="51"/>
        <w:jc w:val="center"/>
        <w:rPr>
          <w:rFonts w:ascii="Arial Narrow" w:eastAsia="Calibri" w:hAnsi="Arial Narrow" w:cs="Arial"/>
          <w:b/>
          <w:lang w:val="en-US"/>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PRIMERO.-</w:t>
      </w:r>
      <w:proofErr w:type="gramEnd"/>
      <w:r w:rsidRPr="00DA70A6">
        <w:rPr>
          <w:rFonts w:ascii="Arial Narrow" w:eastAsia="Calibri" w:hAnsi="Arial Narrow" w:cs="Arial"/>
        </w:rPr>
        <w:t xml:space="preserve"> El presente Decreto entrará en vigor al día siguiente de su publicación en el Periódico Oficial del Estado.</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SEGUNDO.-</w:t>
      </w:r>
      <w:proofErr w:type="gramEnd"/>
      <w:r w:rsidRPr="00DA70A6">
        <w:rPr>
          <w:rFonts w:ascii="Arial Narrow" w:eastAsia="Calibri" w:hAnsi="Arial Narrow" w:cs="Arial"/>
        </w:rPr>
        <w:t xml:space="preserve"> El Consejo Estatal de Mejora Regulatoria deberá estar instalado en un plazo que no exceda los noventa días naturales a la entrada en vigor de la Ley Estatal de Mejora Regulatoria.</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TERCERO.</w:t>
      </w:r>
      <w:r w:rsidR="00583AD5" w:rsidRPr="00DA70A6">
        <w:rPr>
          <w:rFonts w:ascii="Arial Narrow" w:eastAsia="Calibri" w:hAnsi="Arial Narrow" w:cs="Arial"/>
          <w:b/>
        </w:rPr>
        <w:t>-</w:t>
      </w:r>
      <w:proofErr w:type="gramEnd"/>
      <w:r w:rsidRPr="00DA70A6">
        <w:rPr>
          <w:rFonts w:ascii="Arial Narrow" w:eastAsia="Calibri" w:hAnsi="Arial Narrow" w:cs="Arial"/>
        </w:rPr>
        <w:t xml:space="preserve"> Las Autoridades de Mejora Regulatoria y los Sujetos Obligados darán cumplimiento a las obligaciones establecidas en la presente Ley con cargo a sus respectivos presupuestos.</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lastRenderedPageBreak/>
        <w:t xml:space="preserve">ARTÍCULO </w:t>
      </w:r>
      <w:proofErr w:type="gramStart"/>
      <w:r w:rsidRPr="00DA70A6">
        <w:rPr>
          <w:rFonts w:ascii="Arial Narrow" w:eastAsia="Calibri" w:hAnsi="Arial Narrow" w:cs="Arial"/>
          <w:b/>
        </w:rPr>
        <w:t>CUARTO.</w:t>
      </w:r>
      <w:r w:rsidR="00583AD5" w:rsidRPr="00DA70A6">
        <w:rPr>
          <w:rFonts w:ascii="Arial Narrow" w:eastAsia="Calibri" w:hAnsi="Arial Narrow" w:cs="Arial"/>
          <w:b/>
        </w:rPr>
        <w:t>-</w:t>
      </w:r>
      <w:proofErr w:type="gramEnd"/>
      <w:r w:rsidRPr="00DA70A6">
        <w:rPr>
          <w:rFonts w:ascii="Arial Narrow" w:eastAsia="Calibri" w:hAnsi="Arial Narrow" w:cs="Arial"/>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rsidR="008F7F6A" w:rsidRPr="00DA70A6" w:rsidRDefault="008F7F6A" w:rsidP="00436ED1">
      <w:pPr>
        <w:spacing w:after="0" w:line="300" w:lineRule="exact"/>
        <w:ind w:right="51"/>
        <w:jc w:val="both"/>
        <w:rPr>
          <w:rFonts w:ascii="Arial Narrow" w:eastAsia="Calibri" w:hAnsi="Arial Narrow" w:cs="Arial"/>
          <w:b/>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QUINTO.</w:t>
      </w:r>
      <w:r w:rsidR="00583AD5" w:rsidRPr="00DA70A6">
        <w:rPr>
          <w:rFonts w:ascii="Arial Narrow" w:eastAsia="Calibri" w:hAnsi="Arial Narrow" w:cs="Arial"/>
          <w:b/>
        </w:rPr>
        <w:t>-</w:t>
      </w:r>
      <w:proofErr w:type="gramEnd"/>
      <w:r w:rsidRPr="00DA70A6">
        <w:rPr>
          <w:rFonts w:ascii="Arial Narrow" w:eastAsia="Calibri" w:hAnsi="Arial Narrow" w:cs="Arial"/>
        </w:rPr>
        <w:t xml:space="preserve"> Los procedimientos que se encuentren en trámite una vez que entre en vigor la presente Ley, serán concluidos de conformidad con las disposiciones vigentes al momento de su inicio, en términos de las disposiciones aplicables.</w:t>
      </w:r>
    </w:p>
    <w:p w:rsidR="008F7F6A" w:rsidRPr="00DA70A6" w:rsidRDefault="008F7F6A" w:rsidP="00436ED1">
      <w:pPr>
        <w:spacing w:after="0" w:line="300" w:lineRule="exact"/>
        <w:ind w:right="51"/>
        <w:jc w:val="both"/>
        <w:rPr>
          <w:rFonts w:ascii="Arial Narrow" w:eastAsia="Calibri" w:hAnsi="Arial Narrow" w:cs="Arial"/>
          <w:b/>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SEXTO.</w:t>
      </w:r>
      <w:r w:rsidR="00583AD5" w:rsidRPr="00DA70A6">
        <w:rPr>
          <w:rFonts w:ascii="Arial Narrow" w:eastAsia="Calibri" w:hAnsi="Arial Narrow" w:cs="Arial"/>
          <w:b/>
        </w:rPr>
        <w:t>-</w:t>
      </w:r>
      <w:proofErr w:type="gramEnd"/>
      <w:r w:rsidRPr="00DA70A6">
        <w:rPr>
          <w:rFonts w:ascii="Arial Narrow" w:eastAsia="Calibri" w:hAnsi="Arial Narrow" w:cs="Arial"/>
        </w:rPr>
        <w:t xml:space="preserve"> La Secretaría publicará los lineamientos dentro del plazo que no exceda a un año contado, a partir de la entrada en vigor de dicha Ley, de al menos las siguientes herramientas:</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 Análisis de Impacto regulatorio.</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contextualSpacing/>
        <w:jc w:val="both"/>
        <w:rPr>
          <w:rFonts w:ascii="Arial Narrow" w:eastAsia="Times New Roman" w:hAnsi="Arial Narrow" w:cs="Arial"/>
          <w:lang w:eastAsia="es-ES"/>
        </w:rPr>
      </w:pPr>
      <w:r w:rsidRPr="00DA70A6">
        <w:rPr>
          <w:rFonts w:ascii="Arial Narrow" w:eastAsia="Times New Roman" w:hAnsi="Arial Narrow" w:cs="Arial"/>
          <w:lang w:eastAsia="es-ES"/>
        </w:rPr>
        <w:t>II. Programa Estatal de mejora regulatoria</w:t>
      </w:r>
    </w:p>
    <w:p w:rsidR="008F7F6A" w:rsidRPr="00DA70A6" w:rsidRDefault="008F7F6A" w:rsidP="00436ED1">
      <w:pPr>
        <w:spacing w:after="0" w:line="300" w:lineRule="exact"/>
        <w:ind w:right="51"/>
        <w:jc w:val="both"/>
        <w:rPr>
          <w:rFonts w:ascii="Arial Narrow" w:eastAsia="Calibri" w:hAnsi="Arial Narrow" w:cs="Arial"/>
        </w:rPr>
      </w:pPr>
    </w:p>
    <w:p w:rsidR="008F7F6A" w:rsidRPr="00DA70A6" w:rsidRDefault="008F7F6A" w:rsidP="00436ED1">
      <w:pPr>
        <w:spacing w:after="0" w:line="300" w:lineRule="exact"/>
        <w:ind w:right="51"/>
        <w:jc w:val="both"/>
        <w:rPr>
          <w:rFonts w:ascii="Arial Narrow" w:eastAsia="Calibri" w:hAnsi="Arial Narrow" w:cs="Arial"/>
        </w:rPr>
      </w:pPr>
      <w:r w:rsidRPr="00DA70A6">
        <w:rPr>
          <w:rFonts w:ascii="Arial Narrow" w:eastAsia="Calibri" w:hAnsi="Arial Narrow" w:cs="Arial"/>
          <w:b/>
        </w:rPr>
        <w:t xml:space="preserve">ARTÍCULO </w:t>
      </w:r>
      <w:proofErr w:type="gramStart"/>
      <w:r w:rsidRPr="00DA70A6">
        <w:rPr>
          <w:rFonts w:ascii="Arial Narrow" w:eastAsia="Calibri" w:hAnsi="Arial Narrow" w:cs="Arial"/>
          <w:b/>
        </w:rPr>
        <w:t>SÉPTIMO.</w:t>
      </w:r>
      <w:r w:rsidR="00583AD5" w:rsidRPr="00DA70A6">
        <w:rPr>
          <w:rFonts w:ascii="Arial Narrow" w:eastAsia="Calibri" w:hAnsi="Arial Narrow" w:cs="Arial"/>
          <w:b/>
        </w:rPr>
        <w:t>-</w:t>
      </w:r>
      <w:proofErr w:type="gramEnd"/>
      <w:r w:rsidRPr="00DA70A6">
        <w:rPr>
          <w:rFonts w:ascii="Arial Narrow" w:eastAsia="Calibri" w:hAnsi="Arial Narrow" w:cs="Arial"/>
        </w:rPr>
        <w:t xml:space="preserve"> Se abroga la Ley de Mejora Regulatoria para el Estado de Coahuila de Zaragoza, publicada en el Periódico Oficial del Estado No. 38 de fecha 10 de mayo de 2013. </w:t>
      </w:r>
    </w:p>
    <w:p w:rsidR="00BD6061" w:rsidRPr="00DA70A6" w:rsidRDefault="00BD6061" w:rsidP="00BD6061">
      <w:pPr>
        <w:widowControl w:val="0"/>
        <w:spacing w:after="0" w:line="240" w:lineRule="auto"/>
        <w:jc w:val="both"/>
        <w:rPr>
          <w:rFonts w:ascii="Arial Narrow" w:eastAsia="Times New Roman" w:hAnsi="Arial Narrow" w:cs="Arial"/>
          <w:b/>
          <w:snapToGrid w:val="0"/>
          <w:lang w:val="es-ES_tradnl" w:eastAsia="es-ES"/>
        </w:rPr>
      </w:pPr>
    </w:p>
    <w:p w:rsidR="008F7F6A" w:rsidRPr="00DA70A6" w:rsidRDefault="008F7F6A" w:rsidP="00BD6061">
      <w:pPr>
        <w:widowControl w:val="0"/>
        <w:tabs>
          <w:tab w:val="left" w:pos="8749"/>
        </w:tabs>
        <w:spacing w:after="0" w:line="240" w:lineRule="auto"/>
        <w:jc w:val="both"/>
        <w:rPr>
          <w:rFonts w:ascii="Arial Narrow" w:eastAsia="Times New Roman" w:hAnsi="Arial Narrow" w:cs="Arial"/>
          <w:b/>
          <w:snapToGrid w:val="0"/>
          <w:lang w:val="es-ES_tradnl" w:eastAsia="es-ES"/>
        </w:rPr>
      </w:pPr>
    </w:p>
    <w:p w:rsidR="00BD6061" w:rsidRPr="00DA70A6" w:rsidRDefault="00BD6061" w:rsidP="00BD6061">
      <w:pPr>
        <w:widowControl w:val="0"/>
        <w:tabs>
          <w:tab w:val="left" w:pos="8749"/>
        </w:tabs>
        <w:spacing w:after="0" w:line="240" w:lineRule="auto"/>
        <w:jc w:val="both"/>
        <w:rPr>
          <w:rFonts w:ascii="Arial Narrow" w:eastAsia="Times New Roman" w:hAnsi="Arial Narrow" w:cs="Arial"/>
          <w:b/>
          <w:snapToGrid w:val="0"/>
          <w:lang w:val="es-ES_tradnl" w:eastAsia="es-ES"/>
        </w:rPr>
      </w:pPr>
      <w:r w:rsidRPr="00DA70A6">
        <w:rPr>
          <w:rFonts w:ascii="Arial Narrow" w:eastAsia="Times New Roman" w:hAnsi="Arial Narrow" w:cs="Arial"/>
          <w:b/>
          <w:snapToGrid w:val="0"/>
          <w:lang w:val="es-ES_tradnl" w:eastAsia="es-ES"/>
        </w:rPr>
        <w:t>DADO en la Ciudad de Saltillo, Coahuil</w:t>
      </w:r>
      <w:r w:rsidR="008F7F6A" w:rsidRPr="00DA70A6">
        <w:rPr>
          <w:rFonts w:ascii="Arial Narrow" w:eastAsia="Times New Roman" w:hAnsi="Arial Narrow" w:cs="Arial"/>
          <w:b/>
          <w:snapToGrid w:val="0"/>
          <w:lang w:val="es-ES_tradnl" w:eastAsia="es-ES"/>
        </w:rPr>
        <w:t>a de Zaragoza, a los diez</w:t>
      </w:r>
      <w:r w:rsidRPr="00DA70A6">
        <w:rPr>
          <w:rFonts w:ascii="Arial Narrow" w:eastAsia="Times New Roman" w:hAnsi="Arial Narrow" w:cs="Arial"/>
          <w:b/>
          <w:snapToGrid w:val="0"/>
          <w:lang w:val="es-ES_tradnl" w:eastAsia="es-ES"/>
        </w:rPr>
        <w:t xml:space="preserve"> días del mes de junio del año dos mil veinte.</w:t>
      </w:r>
    </w:p>
    <w:p w:rsidR="00BD6061" w:rsidRPr="00DA70A6" w:rsidRDefault="00BD6061" w:rsidP="00BD6061">
      <w:pPr>
        <w:tabs>
          <w:tab w:val="left" w:pos="8749"/>
        </w:tabs>
        <w:spacing w:after="0" w:line="240" w:lineRule="auto"/>
        <w:jc w:val="both"/>
        <w:rPr>
          <w:rFonts w:ascii="Arial Narrow" w:eastAsia="Times New Roman" w:hAnsi="Arial Narrow" w:cs="Arial"/>
          <w:b/>
          <w:snapToGrid w:val="0"/>
          <w:lang w:val="es-ES_tradnl" w:eastAsia="es-ES"/>
        </w:rPr>
      </w:pPr>
    </w:p>
    <w:p w:rsidR="00BD6061" w:rsidRDefault="00BD6061" w:rsidP="00BD6061">
      <w:pPr>
        <w:tabs>
          <w:tab w:val="left" w:pos="8749"/>
        </w:tabs>
        <w:spacing w:after="0" w:line="240" w:lineRule="auto"/>
        <w:jc w:val="both"/>
        <w:rPr>
          <w:rFonts w:ascii="Arial Narrow" w:eastAsia="Times New Roman" w:hAnsi="Arial Narrow" w:cs="Arial"/>
          <w:b/>
          <w:snapToGrid w:val="0"/>
          <w:lang w:val="es-ES_tradnl" w:eastAsia="es-ES"/>
        </w:rPr>
      </w:pPr>
    </w:p>
    <w:p w:rsidR="00D30555" w:rsidRPr="00DA4D81" w:rsidRDefault="00D30555" w:rsidP="00D30555">
      <w:pPr>
        <w:pStyle w:val="CM1"/>
        <w:jc w:val="center"/>
        <w:rPr>
          <w:rFonts w:ascii="Arial Narrow" w:hAnsi="Arial Narrow"/>
          <w:b/>
          <w:bCs/>
          <w:sz w:val="22"/>
          <w:szCs w:val="22"/>
        </w:rPr>
      </w:pPr>
      <w:r w:rsidRPr="00DA4D81">
        <w:rPr>
          <w:rFonts w:ascii="Arial Narrow" w:hAnsi="Arial Narrow"/>
          <w:b/>
          <w:bCs/>
          <w:sz w:val="22"/>
          <w:szCs w:val="22"/>
        </w:rPr>
        <w:t>DIPUTADO PRESIDENTE</w:t>
      </w:r>
    </w:p>
    <w:p w:rsidR="00D30555" w:rsidRPr="00DA4D81" w:rsidRDefault="00D30555" w:rsidP="00D30555">
      <w:pPr>
        <w:pStyle w:val="CM1"/>
        <w:jc w:val="center"/>
        <w:rPr>
          <w:rFonts w:ascii="Arial Narrow" w:hAnsi="Arial Narrow"/>
          <w:b/>
          <w:bCs/>
          <w:sz w:val="22"/>
          <w:szCs w:val="22"/>
        </w:rPr>
      </w:pPr>
      <w:r w:rsidRPr="00DA4D81">
        <w:rPr>
          <w:rFonts w:ascii="Arial Narrow" w:hAnsi="Arial Narrow"/>
          <w:b/>
          <w:bCs/>
          <w:sz w:val="22"/>
          <w:szCs w:val="22"/>
        </w:rPr>
        <w:t>JAIME BUENO ZERTUCHE</w:t>
      </w:r>
    </w:p>
    <w:p w:rsidR="00D30555" w:rsidRDefault="00D30555" w:rsidP="00D30555">
      <w:pPr>
        <w:pStyle w:val="CM1"/>
        <w:jc w:val="center"/>
        <w:rPr>
          <w:rFonts w:ascii="Arial Narrow" w:hAnsi="Arial Narrow"/>
          <w:b/>
          <w:bCs/>
          <w:sz w:val="22"/>
          <w:szCs w:val="22"/>
        </w:rPr>
      </w:pPr>
      <w:r w:rsidRPr="00DA4D81">
        <w:rPr>
          <w:rFonts w:ascii="Arial Narrow" w:hAnsi="Arial Narrow"/>
          <w:b/>
          <w:bCs/>
          <w:sz w:val="22"/>
          <w:szCs w:val="22"/>
        </w:rPr>
        <w:t>(RÚBRICA)</w:t>
      </w:r>
    </w:p>
    <w:p w:rsidR="00D30555" w:rsidRDefault="00D30555" w:rsidP="00D30555">
      <w:pPr>
        <w:pStyle w:val="Default"/>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30555" w:rsidTr="00474C7C">
        <w:trPr>
          <w:jc w:val="center"/>
        </w:trPr>
        <w:tc>
          <w:tcPr>
            <w:tcW w:w="4698" w:type="dxa"/>
          </w:tcPr>
          <w:p w:rsidR="00D30555" w:rsidRPr="00DA4D81" w:rsidRDefault="00D30555" w:rsidP="00474C7C">
            <w:pPr>
              <w:pStyle w:val="Default"/>
              <w:jc w:val="center"/>
              <w:rPr>
                <w:rFonts w:ascii="Arial Narrow" w:hAnsi="Arial Narrow"/>
                <w:b/>
                <w:bCs/>
                <w:sz w:val="22"/>
                <w:szCs w:val="22"/>
              </w:rPr>
            </w:pPr>
            <w:r w:rsidRPr="00DA4D81">
              <w:rPr>
                <w:rFonts w:ascii="Arial Narrow" w:hAnsi="Arial Narrow"/>
                <w:b/>
                <w:bCs/>
                <w:sz w:val="22"/>
                <w:szCs w:val="22"/>
              </w:rPr>
              <w:t>DIPUTADA SECRETARIA</w:t>
            </w:r>
          </w:p>
          <w:p w:rsidR="00D30555" w:rsidRPr="00DA4D81" w:rsidRDefault="00D30555" w:rsidP="00474C7C">
            <w:pPr>
              <w:pStyle w:val="Default"/>
              <w:jc w:val="center"/>
              <w:rPr>
                <w:rFonts w:ascii="Arial Narrow" w:hAnsi="Arial Narrow"/>
                <w:b/>
                <w:bCs/>
                <w:sz w:val="22"/>
                <w:szCs w:val="22"/>
              </w:rPr>
            </w:pPr>
            <w:r w:rsidRPr="00D30555">
              <w:rPr>
                <w:rFonts w:ascii="Arial Narrow" w:hAnsi="Arial Narrow"/>
                <w:b/>
                <w:bCs/>
                <w:sz w:val="22"/>
                <w:szCs w:val="22"/>
              </w:rPr>
              <w:t>ELISA CATALINA VILLALOBOS HERNÁNDEZ</w:t>
            </w:r>
            <w:r w:rsidRPr="00DA4D81">
              <w:rPr>
                <w:rFonts w:ascii="Arial Narrow" w:hAnsi="Arial Narrow"/>
                <w:b/>
                <w:bCs/>
                <w:sz w:val="22"/>
                <w:szCs w:val="22"/>
              </w:rPr>
              <w:t xml:space="preserve"> </w:t>
            </w:r>
            <w:r w:rsidRPr="00DA4D81">
              <w:rPr>
                <w:rFonts w:ascii="Arial Narrow" w:hAnsi="Arial Narrow"/>
                <w:b/>
                <w:bCs/>
                <w:sz w:val="22"/>
                <w:szCs w:val="22"/>
              </w:rPr>
              <w:t>(RÚBRICA)</w:t>
            </w:r>
          </w:p>
        </w:tc>
        <w:tc>
          <w:tcPr>
            <w:tcW w:w="4698" w:type="dxa"/>
          </w:tcPr>
          <w:p w:rsidR="00D30555" w:rsidRPr="00DA4D81" w:rsidRDefault="00D30555" w:rsidP="00474C7C">
            <w:pPr>
              <w:pStyle w:val="Default"/>
              <w:jc w:val="center"/>
              <w:rPr>
                <w:rFonts w:ascii="Arial Narrow" w:hAnsi="Arial Narrow"/>
                <w:b/>
                <w:bCs/>
                <w:sz w:val="22"/>
                <w:szCs w:val="22"/>
              </w:rPr>
            </w:pPr>
            <w:r w:rsidRPr="00DA4D81">
              <w:rPr>
                <w:rFonts w:ascii="Arial Narrow" w:hAnsi="Arial Narrow"/>
                <w:b/>
                <w:bCs/>
                <w:sz w:val="22"/>
                <w:szCs w:val="22"/>
              </w:rPr>
              <w:t>DIPUTADA SECRETARIA</w:t>
            </w:r>
          </w:p>
          <w:p w:rsidR="00D30555" w:rsidRPr="00D30555" w:rsidRDefault="00D30555" w:rsidP="00D30555">
            <w:pPr>
              <w:pStyle w:val="Default"/>
              <w:jc w:val="center"/>
              <w:rPr>
                <w:rFonts w:ascii="Arial Narrow" w:hAnsi="Arial Narrow"/>
                <w:b/>
                <w:bCs/>
                <w:sz w:val="22"/>
                <w:szCs w:val="22"/>
              </w:rPr>
            </w:pPr>
            <w:r w:rsidRPr="00D30555">
              <w:rPr>
                <w:rFonts w:ascii="Arial Narrow" w:hAnsi="Arial Narrow"/>
                <w:b/>
                <w:bCs/>
                <w:sz w:val="22"/>
                <w:szCs w:val="22"/>
              </w:rPr>
              <w:t>JOSEFINA GARZA BARRERA</w:t>
            </w:r>
          </w:p>
          <w:p w:rsidR="00D30555" w:rsidRPr="00DA4D81" w:rsidRDefault="00D30555" w:rsidP="00D30555">
            <w:pPr>
              <w:pStyle w:val="Default"/>
              <w:jc w:val="center"/>
              <w:rPr>
                <w:rFonts w:ascii="Arial Narrow" w:hAnsi="Arial Narrow"/>
                <w:b/>
                <w:bCs/>
                <w:sz w:val="22"/>
                <w:szCs w:val="22"/>
              </w:rPr>
            </w:pPr>
            <w:r w:rsidRPr="00DA4D81">
              <w:rPr>
                <w:rFonts w:ascii="Arial Narrow" w:hAnsi="Arial Narrow"/>
                <w:b/>
                <w:bCs/>
                <w:sz w:val="22"/>
                <w:szCs w:val="22"/>
              </w:rPr>
              <w:t xml:space="preserve"> </w:t>
            </w:r>
            <w:r w:rsidRPr="00DA4D81">
              <w:rPr>
                <w:rFonts w:ascii="Arial Narrow" w:hAnsi="Arial Narrow"/>
                <w:b/>
                <w:bCs/>
                <w:sz w:val="22"/>
                <w:szCs w:val="22"/>
              </w:rPr>
              <w:t>(RÚBRICA)</w:t>
            </w:r>
          </w:p>
        </w:tc>
      </w:tr>
    </w:tbl>
    <w:p w:rsidR="00D30555" w:rsidRDefault="00D30555" w:rsidP="00D30555">
      <w:pPr>
        <w:pStyle w:val="Default"/>
      </w:pPr>
    </w:p>
    <w:p w:rsidR="00D30555" w:rsidRPr="00DA4D81" w:rsidRDefault="00D30555" w:rsidP="00D30555">
      <w:pPr>
        <w:pStyle w:val="Default"/>
      </w:pPr>
    </w:p>
    <w:p w:rsidR="00D30555" w:rsidRPr="00FB29D5" w:rsidRDefault="00D30555" w:rsidP="00D30555">
      <w:pPr>
        <w:pStyle w:val="CM1"/>
        <w:jc w:val="center"/>
        <w:rPr>
          <w:rFonts w:ascii="Arial Narrow" w:hAnsi="Arial Narrow"/>
          <w:sz w:val="22"/>
          <w:szCs w:val="22"/>
        </w:rPr>
      </w:pPr>
      <w:r w:rsidRPr="00FB29D5">
        <w:rPr>
          <w:rFonts w:ascii="Arial Narrow" w:hAnsi="Arial Narrow"/>
          <w:b/>
          <w:bCs/>
          <w:sz w:val="22"/>
          <w:szCs w:val="22"/>
        </w:rPr>
        <w:t>IMPRÍMASE, COMUNÍQU</w:t>
      </w:r>
      <w:bookmarkStart w:id="1" w:name="_GoBack"/>
      <w:bookmarkEnd w:id="1"/>
      <w:r w:rsidRPr="00FB29D5">
        <w:rPr>
          <w:rFonts w:ascii="Arial Narrow" w:hAnsi="Arial Narrow"/>
          <w:b/>
          <w:bCs/>
          <w:sz w:val="22"/>
          <w:szCs w:val="22"/>
        </w:rPr>
        <w:t xml:space="preserve">ESE Y OBSÉRVESE </w:t>
      </w:r>
    </w:p>
    <w:p w:rsidR="00D30555" w:rsidRPr="00FB29D5" w:rsidRDefault="00D30555" w:rsidP="00D30555">
      <w:pPr>
        <w:pStyle w:val="CM80"/>
        <w:jc w:val="center"/>
        <w:rPr>
          <w:rFonts w:ascii="Arial Narrow" w:hAnsi="Arial Narrow"/>
          <w:sz w:val="22"/>
          <w:szCs w:val="22"/>
        </w:rPr>
      </w:pPr>
      <w:r w:rsidRPr="00FB29D5">
        <w:rPr>
          <w:rFonts w:ascii="Arial Narrow" w:hAnsi="Arial Narrow"/>
          <w:sz w:val="22"/>
          <w:szCs w:val="22"/>
        </w:rPr>
        <w:t xml:space="preserve">Saltillo, Coahuila de Zaragoza, a 6 de julio de 2020. </w:t>
      </w:r>
    </w:p>
    <w:p w:rsidR="00D30555" w:rsidRDefault="00D30555" w:rsidP="00D30555">
      <w:pPr>
        <w:pStyle w:val="CM78"/>
        <w:jc w:val="center"/>
        <w:rPr>
          <w:rFonts w:ascii="Arial Narrow" w:hAnsi="Arial Narrow"/>
          <w:b/>
          <w:bCs/>
          <w:sz w:val="22"/>
          <w:szCs w:val="22"/>
        </w:rPr>
      </w:pPr>
    </w:p>
    <w:p w:rsidR="00D30555" w:rsidRDefault="00D30555" w:rsidP="00D30555">
      <w:pPr>
        <w:pStyle w:val="Default"/>
      </w:pPr>
    </w:p>
    <w:p w:rsidR="00D30555" w:rsidRPr="00DA4D81" w:rsidRDefault="00D30555" w:rsidP="00D30555">
      <w:pPr>
        <w:pStyle w:val="CM1"/>
        <w:jc w:val="center"/>
        <w:rPr>
          <w:rFonts w:ascii="Arial Narrow" w:hAnsi="Arial Narrow"/>
          <w:b/>
          <w:bCs/>
          <w:sz w:val="22"/>
          <w:szCs w:val="22"/>
        </w:rPr>
      </w:pPr>
      <w:r w:rsidRPr="00DA4D81">
        <w:rPr>
          <w:rFonts w:ascii="Arial Narrow" w:hAnsi="Arial Narrow"/>
          <w:b/>
          <w:bCs/>
          <w:sz w:val="22"/>
          <w:szCs w:val="22"/>
        </w:rPr>
        <w:t>EL GOBERNADOR CONSTITUCIONAL DEL ESTADO</w:t>
      </w:r>
    </w:p>
    <w:p w:rsidR="00D30555" w:rsidRPr="00DA4D81" w:rsidRDefault="00D30555" w:rsidP="00D30555">
      <w:pPr>
        <w:pStyle w:val="CM1"/>
        <w:jc w:val="center"/>
        <w:rPr>
          <w:rFonts w:ascii="Arial Narrow" w:hAnsi="Arial Narrow"/>
          <w:b/>
          <w:bCs/>
          <w:sz w:val="22"/>
          <w:szCs w:val="22"/>
        </w:rPr>
      </w:pPr>
      <w:r w:rsidRPr="00DA4D81">
        <w:rPr>
          <w:rFonts w:ascii="Arial Narrow" w:hAnsi="Arial Narrow"/>
          <w:b/>
          <w:bCs/>
          <w:sz w:val="22"/>
          <w:szCs w:val="22"/>
        </w:rPr>
        <w:t>ING. MIGUEL ÁNGEL RIQUELME SOLÍS</w:t>
      </w:r>
    </w:p>
    <w:p w:rsidR="00D30555" w:rsidRPr="00DA4D81" w:rsidRDefault="00D30555" w:rsidP="00D30555">
      <w:pPr>
        <w:pStyle w:val="CM1"/>
        <w:jc w:val="center"/>
        <w:rPr>
          <w:rFonts w:ascii="Arial Narrow" w:hAnsi="Arial Narrow"/>
          <w:b/>
          <w:bCs/>
          <w:sz w:val="22"/>
          <w:szCs w:val="22"/>
        </w:rPr>
      </w:pPr>
      <w:r w:rsidRPr="00DA4D81">
        <w:rPr>
          <w:rFonts w:ascii="Arial Narrow" w:hAnsi="Arial Narrow"/>
          <w:b/>
          <w:bCs/>
          <w:sz w:val="22"/>
          <w:szCs w:val="22"/>
        </w:rPr>
        <w:t>(RÚBRICA)</w:t>
      </w:r>
    </w:p>
    <w:p w:rsidR="00D30555" w:rsidRPr="00DA4D81" w:rsidRDefault="00D30555" w:rsidP="00D30555">
      <w:pPr>
        <w:pStyle w:val="Default"/>
      </w:pPr>
    </w:p>
    <w:p w:rsidR="00D30555" w:rsidRDefault="00D30555" w:rsidP="00D30555">
      <w:pPr>
        <w:pStyle w:val="CM78"/>
        <w:jc w:val="center"/>
        <w:rPr>
          <w:rFonts w:ascii="Arial Narrow" w:hAnsi="Arial Narrow"/>
          <w:b/>
          <w:b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30555" w:rsidTr="00474C7C">
        <w:trPr>
          <w:jc w:val="center"/>
        </w:trPr>
        <w:tc>
          <w:tcPr>
            <w:tcW w:w="4698" w:type="dxa"/>
          </w:tcPr>
          <w:p w:rsidR="00D30555" w:rsidRPr="00DA4D81" w:rsidRDefault="00D30555" w:rsidP="00474C7C">
            <w:pPr>
              <w:pStyle w:val="CM1"/>
              <w:jc w:val="center"/>
              <w:rPr>
                <w:rFonts w:ascii="Arial Narrow" w:hAnsi="Arial Narrow"/>
                <w:b/>
                <w:bCs/>
                <w:sz w:val="22"/>
                <w:szCs w:val="22"/>
              </w:rPr>
            </w:pPr>
            <w:r w:rsidRPr="00DA4D81">
              <w:rPr>
                <w:rFonts w:ascii="Arial Narrow" w:hAnsi="Arial Narrow"/>
                <w:b/>
                <w:bCs/>
                <w:sz w:val="22"/>
                <w:szCs w:val="22"/>
              </w:rPr>
              <w:t>EL SECRETARIO DE GOBIERNO</w:t>
            </w:r>
          </w:p>
          <w:p w:rsidR="00D30555" w:rsidRPr="00DA4D81" w:rsidRDefault="00D30555" w:rsidP="00474C7C">
            <w:pPr>
              <w:pStyle w:val="CM1"/>
              <w:jc w:val="center"/>
              <w:rPr>
                <w:rFonts w:ascii="Arial Narrow" w:hAnsi="Arial Narrow"/>
                <w:b/>
                <w:bCs/>
                <w:sz w:val="22"/>
                <w:szCs w:val="22"/>
              </w:rPr>
            </w:pPr>
            <w:r w:rsidRPr="00DA4D81">
              <w:rPr>
                <w:rFonts w:ascii="Arial Narrow" w:hAnsi="Arial Narrow"/>
                <w:b/>
                <w:bCs/>
                <w:sz w:val="22"/>
                <w:szCs w:val="22"/>
              </w:rPr>
              <w:t>ING. JOSÉ MARÍA FRAUSTRO SILLER</w:t>
            </w:r>
          </w:p>
          <w:p w:rsidR="00D30555" w:rsidRPr="00DA4D81" w:rsidRDefault="00D30555" w:rsidP="00474C7C">
            <w:pPr>
              <w:pStyle w:val="CM1"/>
              <w:jc w:val="center"/>
              <w:rPr>
                <w:rFonts w:ascii="Arial Narrow" w:hAnsi="Arial Narrow"/>
                <w:b/>
                <w:bCs/>
                <w:sz w:val="22"/>
                <w:szCs w:val="22"/>
              </w:rPr>
            </w:pPr>
            <w:r w:rsidRPr="00DA4D81">
              <w:rPr>
                <w:rFonts w:ascii="Arial Narrow" w:hAnsi="Arial Narrow"/>
                <w:b/>
                <w:bCs/>
                <w:sz w:val="22"/>
                <w:szCs w:val="22"/>
              </w:rPr>
              <w:t>(RÚBRICA)</w:t>
            </w:r>
          </w:p>
          <w:p w:rsidR="00D30555" w:rsidRPr="00DA4D81" w:rsidRDefault="00D30555" w:rsidP="00474C7C">
            <w:pPr>
              <w:pStyle w:val="Default"/>
              <w:jc w:val="center"/>
              <w:rPr>
                <w:rFonts w:ascii="Arial Narrow" w:hAnsi="Arial Narrow"/>
                <w:b/>
                <w:bCs/>
                <w:sz w:val="22"/>
                <w:szCs w:val="22"/>
              </w:rPr>
            </w:pPr>
          </w:p>
        </w:tc>
        <w:tc>
          <w:tcPr>
            <w:tcW w:w="4698" w:type="dxa"/>
          </w:tcPr>
          <w:p w:rsidR="00D30555" w:rsidRPr="00DA4D81" w:rsidRDefault="00D30555" w:rsidP="00474C7C">
            <w:pPr>
              <w:pStyle w:val="Default"/>
              <w:jc w:val="center"/>
              <w:rPr>
                <w:rFonts w:ascii="Arial Narrow" w:hAnsi="Arial Narrow"/>
                <w:b/>
                <w:bCs/>
                <w:sz w:val="22"/>
                <w:szCs w:val="22"/>
              </w:rPr>
            </w:pPr>
          </w:p>
        </w:tc>
      </w:tr>
    </w:tbl>
    <w:p w:rsidR="00D30555" w:rsidRDefault="00D30555" w:rsidP="00D30555">
      <w:pPr>
        <w:pStyle w:val="Default"/>
      </w:pPr>
    </w:p>
    <w:p w:rsidR="00BD6061" w:rsidRPr="00D30555" w:rsidRDefault="00BD6061" w:rsidP="00BD6061">
      <w:pPr>
        <w:spacing w:after="0" w:line="240" w:lineRule="auto"/>
        <w:jc w:val="both"/>
        <w:rPr>
          <w:rFonts w:ascii="Arial Narrow" w:hAnsi="Arial Narrow" w:cs="Arial"/>
          <w:lang w:val="es-ES_tradnl"/>
        </w:rPr>
      </w:pPr>
    </w:p>
    <w:sectPr w:rsidR="00BD6061" w:rsidRPr="00D30555" w:rsidSect="00DA70A6">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2D" w:rsidRDefault="0021472D" w:rsidP="003D6EA2">
      <w:pPr>
        <w:spacing w:after="0" w:line="240" w:lineRule="auto"/>
      </w:pPr>
      <w:r>
        <w:separator/>
      </w:r>
    </w:p>
  </w:endnote>
  <w:endnote w:type="continuationSeparator" w:id="0">
    <w:p w:rsidR="0021472D" w:rsidRDefault="0021472D" w:rsidP="003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5151"/>
      <w:docPartObj>
        <w:docPartGallery w:val="Page Numbers (Bottom of Page)"/>
        <w:docPartUnique/>
      </w:docPartObj>
    </w:sdtPr>
    <w:sdtEndPr>
      <w:rPr>
        <w:sz w:val="18"/>
      </w:rPr>
    </w:sdtEndPr>
    <w:sdtContent>
      <w:p w:rsidR="00FB1AF3" w:rsidRPr="00FB1AF3" w:rsidRDefault="00FB1AF3">
        <w:pPr>
          <w:pStyle w:val="Piedepgina"/>
          <w:jc w:val="right"/>
          <w:rPr>
            <w:sz w:val="18"/>
          </w:rPr>
        </w:pPr>
        <w:r w:rsidRPr="00FB1AF3">
          <w:rPr>
            <w:sz w:val="18"/>
          </w:rPr>
          <w:fldChar w:fldCharType="begin"/>
        </w:r>
        <w:r w:rsidRPr="00FB1AF3">
          <w:rPr>
            <w:sz w:val="18"/>
          </w:rPr>
          <w:instrText>PAGE   \* MERGEFORMAT</w:instrText>
        </w:r>
        <w:r w:rsidRPr="00FB1AF3">
          <w:rPr>
            <w:sz w:val="18"/>
          </w:rPr>
          <w:fldChar w:fldCharType="separate"/>
        </w:r>
        <w:r w:rsidRPr="00FB1AF3">
          <w:rPr>
            <w:noProof/>
            <w:sz w:val="18"/>
            <w:lang w:val="es-ES"/>
          </w:rPr>
          <w:t>21</w:t>
        </w:r>
        <w:r w:rsidRPr="00FB1AF3">
          <w:rPr>
            <w:sz w:val="18"/>
          </w:rPr>
          <w:fldChar w:fldCharType="end"/>
        </w:r>
      </w:p>
    </w:sdtContent>
  </w:sdt>
  <w:p w:rsidR="00FB1AF3" w:rsidRDefault="00FB1A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2D" w:rsidRDefault="0021472D" w:rsidP="003D6EA2">
      <w:pPr>
        <w:spacing w:after="0" w:line="240" w:lineRule="auto"/>
      </w:pPr>
      <w:r>
        <w:separator/>
      </w:r>
    </w:p>
  </w:footnote>
  <w:footnote w:type="continuationSeparator" w:id="0">
    <w:p w:rsidR="0021472D" w:rsidRDefault="0021472D" w:rsidP="003D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673536"/>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C65CE2"/>
    <w:multiLevelType w:val="hybridMultilevel"/>
    <w:tmpl w:val="50E4C430"/>
    <w:lvl w:ilvl="0" w:tplc="675809F4">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B75D2A"/>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130AB5"/>
    <w:multiLevelType w:val="hybridMultilevel"/>
    <w:tmpl w:val="EF3A1760"/>
    <w:lvl w:ilvl="0" w:tplc="080A0013">
      <w:start w:val="1"/>
      <w:numFmt w:val="upperRoman"/>
      <w:lvlText w:val="%1."/>
      <w:lvlJc w:val="right"/>
      <w:pPr>
        <w:ind w:left="1212" w:hanging="360"/>
      </w:p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2"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35" w15:restartNumberingAfterBreak="0">
    <w:nsid w:val="52C93E20"/>
    <w:multiLevelType w:val="hybridMultilevel"/>
    <w:tmpl w:val="252C4BBA"/>
    <w:lvl w:ilvl="0" w:tplc="017C6D9E">
      <w:start w:val="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2E257E"/>
    <w:multiLevelType w:val="hybridMultilevel"/>
    <w:tmpl w:val="F2C4CDDA"/>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34"/>
  </w:num>
  <w:num w:numId="5">
    <w:abstractNumId w:val="24"/>
  </w:num>
  <w:num w:numId="6">
    <w:abstractNumId w:val="6"/>
  </w:num>
  <w:num w:numId="7">
    <w:abstractNumId w:val="28"/>
  </w:num>
  <w:num w:numId="8">
    <w:abstractNumId w:val="42"/>
  </w:num>
  <w:num w:numId="9">
    <w:abstractNumId w:val="31"/>
  </w:num>
  <w:num w:numId="10">
    <w:abstractNumId w:val="7"/>
  </w:num>
  <w:num w:numId="11">
    <w:abstractNumId w:val="14"/>
  </w:num>
  <w:num w:numId="12">
    <w:abstractNumId w:val="43"/>
  </w:num>
  <w:num w:numId="13">
    <w:abstractNumId w:val="33"/>
  </w:num>
  <w:num w:numId="14">
    <w:abstractNumId w:val="10"/>
  </w:num>
  <w:num w:numId="15">
    <w:abstractNumId w:val="30"/>
  </w:num>
  <w:num w:numId="16">
    <w:abstractNumId w:val="17"/>
  </w:num>
  <w:num w:numId="17">
    <w:abstractNumId w:val="39"/>
  </w:num>
  <w:num w:numId="18">
    <w:abstractNumId w:val="16"/>
  </w:num>
  <w:num w:numId="19">
    <w:abstractNumId w:val="3"/>
  </w:num>
  <w:num w:numId="20">
    <w:abstractNumId w:val="18"/>
  </w:num>
  <w:num w:numId="21">
    <w:abstractNumId w:val="4"/>
  </w:num>
  <w:num w:numId="22">
    <w:abstractNumId w:val="12"/>
  </w:num>
  <w:num w:numId="23">
    <w:abstractNumId w:val="26"/>
  </w:num>
  <w:num w:numId="24">
    <w:abstractNumId w:val="40"/>
  </w:num>
  <w:num w:numId="25">
    <w:abstractNumId w:val="36"/>
  </w:num>
  <w:num w:numId="26">
    <w:abstractNumId w:val="15"/>
  </w:num>
  <w:num w:numId="27">
    <w:abstractNumId w:val="38"/>
  </w:num>
  <w:num w:numId="28">
    <w:abstractNumId w:val="2"/>
  </w:num>
  <w:num w:numId="29">
    <w:abstractNumId w:val="45"/>
  </w:num>
  <w:num w:numId="30">
    <w:abstractNumId w:val="22"/>
  </w:num>
  <w:num w:numId="31">
    <w:abstractNumId w:val="20"/>
  </w:num>
  <w:num w:numId="32">
    <w:abstractNumId w:val="41"/>
  </w:num>
  <w:num w:numId="33">
    <w:abstractNumId w:val="37"/>
  </w:num>
  <w:num w:numId="34">
    <w:abstractNumId w:val="5"/>
  </w:num>
  <w:num w:numId="35">
    <w:abstractNumId w:val="44"/>
  </w:num>
  <w:num w:numId="36">
    <w:abstractNumId w:val="8"/>
  </w:num>
  <w:num w:numId="37">
    <w:abstractNumId w:val="9"/>
  </w:num>
  <w:num w:numId="38">
    <w:abstractNumId w:val="21"/>
  </w:num>
  <w:num w:numId="39">
    <w:abstractNumId w:val="32"/>
  </w:num>
  <w:num w:numId="40">
    <w:abstractNumId w:val="13"/>
  </w:num>
  <w:num w:numId="41">
    <w:abstractNumId w:val="11"/>
  </w:num>
  <w:num w:numId="42">
    <w:abstractNumId w:val="29"/>
  </w:num>
  <w:num w:numId="43">
    <w:abstractNumId w:val="25"/>
  </w:num>
  <w:num w:numId="44">
    <w:abstractNumId w:val="27"/>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61"/>
    <w:rsid w:val="000653EC"/>
    <w:rsid w:val="000F546E"/>
    <w:rsid w:val="00173F69"/>
    <w:rsid w:val="0021472D"/>
    <w:rsid w:val="00215321"/>
    <w:rsid w:val="00255EFC"/>
    <w:rsid w:val="00284AF9"/>
    <w:rsid w:val="002A0B5B"/>
    <w:rsid w:val="003243DB"/>
    <w:rsid w:val="003D6EA2"/>
    <w:rsid w:val="00436ED1"/>
    <w:rsid w:val="004562E7"/>
    <w:rsid w:val="004B2F43"/>
    <w:rsid w:val="00583AD5"/>
    <w:rsid w:val="006A492C"/>
    <w:rsid w:val="00850493"/>
    <w:rsid w:val="008F7F6A"/>
    <w:rsid w:val="00A25852"/>
    <w:rsid w:val="00BD6061"/>
    <w:rsid w:val="00C309BD"/>
    <w:rsid w:val="00CE54F4"/>
    <w:rsid w:val="00D30555"/>
    <w:rsid w:val="00DA70A6"/>
    <w:rsid w:val="00F00CAC"/>
    <w:rsid w:val="00FB1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36CD"/>
  <w15:chartTrackingRefBased/>
  <w15:docId w15:val="{20F9B9E2-46B4-4129-B5D4-C79D87F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61"/>
  </w:style>
  <w:style w:type="paragraph" w:styleId="Ttulo1">
    <w:name w:val="heading 1"/>
    <w:basedOn w:val="Normal"/>
    <w:next w:val="Normal"/>
    <w:link w:val="Ttulo1Car"/>
    <w:uiPriority w:val="9"/>
    <w:qFormat/>
    <w:rsid w:val="008F7F6A"/>
    <w:pPr>
      <w:keepNext/>
      <w:spacing w:after="0" w:line="240" w:lineRule="auto"/>
      <w:outlineLvl w:val="0"/>
    </w:pPr>
    <w:rPr>
      <w:rFonts w:ascii="Times New Roman" w:eastAsia="Times New Roman" w:hAnsi="Times New Roman" w:cs="Times New Roman"/>
      <w:b/>
      <w:bCs/>
      <w:sz w:val="20"/>
      <w:szCs w:val="20"/>
      <w:lang w:val="es-ES" w:eastAsia="es-ES"/>
    </w:rPr>
  </w:style>
  <w:style w:type="paragraph" w:styleId="Ttulo2">
    <w:name w:val="heading 2"/>
    <w:basedOn w:val="Normal"/>
    <w:next w:val="Normal"/>
    <w:link w:val="Ttulo2Car"/>
    <w:qFormat/>
    <w:rsid w:val="008F7F6A"/>
    <w:pPr>
      <w:keepNext/>
      <w:spacing w:after="0" w:line="240" w:lineRule="auto"/>
      <w:ind w:left="5245"/>
      <w:jc w:val="both"/>
      <w:outlineLvl w:val="1"/>
    </w:pPr>
    <w:rPr>
      <w:rFonts w:ascii="Arial" w:eastAsia="Times New Roman" w:hAnsi="Arial" w:cs="Times New Roman"/>
      <w:b/>
      <w:sz w:val="18"/>
      <w:szCs w:val="20"/>
      <w:lang w:val="es-ES" w:eastAsia="es-ES"/>
    </w:rPr>
  </w:style>
  <w:style w:type="paragraph" w:styleId="Ttulo3">
    <w:name w:val="heading 3"/>
    <w:basedOn w:val="Normal"/>
    <w:next w:val="Normal"/>
    <w:link w:val="Ttulo3Car"/>
    <w:uiPriority w:val="9"/>
    <w:qFormat/>
    <w:rsid w:val="008F7F6A"/>
    <w:pPr>
      <w:keepNext/>
      <w:spacing w:after="0" w:line="240" w:lineRule="auto"/>
      <w:outlineLvl w:val="2"/>
    </w:pPr>
    <w:rPr>
      <w:rFonts w:ascii="Arial" w:eastAsia="Times New Roman" w:hAnsi="Arial" w:cs="Times New Roman"/>
      <w:sz w:val="27"/>
      <w:szCs w:val="20"/>
      <w:lang w:val="es-ES" w:eastAsia="es-ES"/>
    </w:rPr>
  </w:style>
  <w:style w:type="paragraph" w:styleId="Ttulo4">
    <w:name w:val="heading 4"/>
    <w:basedOn w:val="Normal"/>
    <w:next w:val="Normal"/>
    <w:link w:val="Ttulo4Car"/>
    <w:qFormat/>
    <w:rsid w:val="008F7F6A"/>
    <w:pPr>
      <w:keepNext/>
      <w:spacing w:after="0" w:line="240" w:lineRule="auto"/>
      <w:jc w:val="both"/>
      <w:outlineLvl w:val="3"/>
    </w:pPr>
    <w:rPr>
      <w:rFonts w:ascii="Arial" w:eastAsia="Times New Roman" w:hAnsi="Arial" w:cs="Times New Roman"/>
      <w:b/>
      <w:sz w:val="18"/>
      <w:szCs w:val="20"/>
      <w:lang w:val="es-ES" w:eastAsia="es-ES"/>
    </w:rPr>
  </w:style>
  <w:style w:type="paragraph" w:styleId="Ttulo5">
    <w:name w:val="heading 5"/>
    <w:basedOn w:val="Normal"/>
    <w:next w:val="Normal"/>
    <w:link w:val="Ttulo5Car"/>
    <w:qFormat/>
    <w:rsid w:val="008F7F6A"/>
    <w:pPr>
      <w:keepNext/>
      <w:spacing w:after="0" w:line="240" w:lineRule="auto"/>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uiPriority w:val="9"/>
    <w:qFormat/>
    <w:rsid w:val="008F7F6A"/>
    <w:pPr>
      <w:keepNext/>
      <w:spacing w:after="0" w:line="240" w:lineRule="auto"/>
      <w:jc w:val="both"/>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8F7F6A"/>
    <w:pPr>
      <w:keepNext/>
      <w:spacing w:after="0" w:line="240" w:lineRule="auto"/>
      <w:jc w:val="both"/>
      <w:outlineLvl w:val="6"/>
    </w:pPr>
    <w:rPr>
      <w:rFonts w:ascii="Arial" w:eastAsia="Times New Roman" w:hAnsi="Arial" w:cs="Times New Roman"/>
      <w:b/>
      <w:sz w:val="27"/>
      <w:szCs w:val="20"/>
      <w:lang w:val="es-ES" w:eastAsia="es-ES"/>
    </w:rPr>
  </w:style>
  <w:style w:type="paragraph" w:styleId="Ttulo8">
    <w:name w:val="heading 8"/>
    <w:basedOn w:val="Normal"/>
    <w:next w:val="Normal"/>
    <w:link w:val="Ttulo8Car"/>
    <w:qFormat/>
    <w:rsid w:val="008F7F6A"/>
    <w:pPr>
      <w:keepNext/>
      <w:spacing w:after="0" w:line="240" w:lineRule="auto"/>
      <w:ind w:left="1701"/>
      <w:jc w:val="both"/>
      <w:outlineLvl w:val="7"/>
    </w:pPr>
    <w:rPr>
      <w:rFonts w:ascii="Arial" w:eastAsia="Times New Roman" w:hAnsi="Arial" w:cs="Times New Roman"/>
      <w:sz w:val="26"/>
      <w:szCs w:val="20"/>
      <w:lang w:val="es-ES" w:eastAsia="es-ES"/>
    </w:rPr>
  </w:style>
  <w:style w:type="paragraph" w:styleId="Ttulo9">
    <w:name w:val="heading 9"/>
    <w:basedOn w:val="Normal"/>
    <w:next w:val="Normal"/>
    <w:link w:val="Ttulo9Car"/>
    <w:qFormat/>
    <w:rsid w:val="008F7F6A"/>
    <w:pPr>
      <w:keepNext/>
      <w:spacing w:after="0" w:line="240" w:lineRule="auto"/>
      <w:jc w:val="both"/>
      <w:outlineLvl w:val="8"/>
    </w:pPr>
    <w:rPr>
      <w:rFonts w:ascii="Arial" w:eastAsia="Times New Roman" w:hAnsi="Arial" w:cs="Times New Roman"/>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7F6A"/>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8F7F6A"/>
    <w:rPr>
      <w:rFonts w:ascii="Arial" w:eastAsia="Times New Roman" w:hAnsi="Arial" w:cs="Times New Roman"/>
      <w:b/>
      <w:sz w:val="18"/>
      <w:szCs w:val="20"/>
      <w:lang w:val="es-ES" w:eastAsia="es-ES"/>
    </w:rPr>
  </w:style>
  <w:style w:type="character" w:customStyle="1" w:styleId="Ttulo3Car">
    <w:name w:val="Título 3 Car"/>
    <w:basedOn w:val="Fuentedeprrafopredeter"/>
    <w:link w:val="Ttulo3"/>
    <w:uiPriority w:val="9"/>
    <w:rsid w:val="008F7F6A"/>
    <w:rPr>
      <w:rFonts w:ascii="Arial" w:eastAsia="Times New Roman" w:hAnsi="Arial" w:cs="Times New Roman"/>
      <w:sz w:val="27"/>
      <w:szCs w:val="20"/>
      <w:lang w:val="es-ES" w:eastAsia="es-ES"/>
    </w:rPr>
  </w:style>
  <w:style w:type="character" w:customStyle="1" w:styleId="Ttulo4Car">
    <w:name w:val="Título 4 Car"/>
    <w:basedOn w:val="Fuentedeprrafopredeter"/>
    <w:link w:val="Ttulo4"/>
    <w:rsid w:val="008F7F6A"/>
    <w:rPr>
      <w:rFonts w:ascii="Arial" w:eastAsia="Times New Roman" w:hAnsi="Arial" w:cs="Times New Roman"/>
      <w:b/>
      <w:sz w:val="18"/>
      <w:szCs w:val="20"/>
      <w:lang w:val="es-ES" w:eastAsia="es-ES"/>
    </w:rPr>
  </w:style>
  <w:style w:type="character" w:customStyle="1" w:styleId="Ttulo5Car">
    <w:name w:val="Título 5 Car"/>
    <w:basedOn w:val="Fuentedeprrafopredeter"/>
    <w:link w:val="Ttulo5"/>
    <w:rsid w:val="008F7F6A"/>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uiPriority w:val="9"/>
    <w:rsid w:val="008F7F6A"/>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8F7F6A"/>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8F7F6A"/>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8F7F6A"/>
    <w:rPr>
      <w:rFonts w:ascii="Arial" w:eastAsia="Times New Roman" w:hAnsi="Arial" w:cs="Times New Roman"/>
      <w:sz w:val="26"/>
      <w:szCs w:val="20"/>
      <w:lang w:val="es-ES_tradnl" w:eastAsia="es-ES"/>
    </w:rPr>
  </w:style>
  <w:style w:type="numbering" w:customStyle="1" w:styleId="Sinlista1">
    <w:name w:val="Sin lista1"/>
    <w:next w:val="Sinlista"/>
    <w:uiPriority w:val="99"/>
    <w:semiHidden/>
    <w:unhideWhenUsed/>
    <w:rsid w:val="008F7F6A"/>
  </w:style>
  <w:style w:type="paragraph" w:styleId="Encabezado">
    <w:name w:val="header"/>
    <w:basedOn w:val="Normal"/>
    <w:link w:val="EncabezadoCar"/>
    <w:uiPriority w:val="99"/>
    <w:rsid w:val="008F7F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8F7F6A"/>
    <w:rPr>
      <w:rFonts w:ascii="Arial" w:eastAsia="Times New Roman" w:hAnsi="Arial" w:cs="Times New Roman"/>
      <w:sz w:val="20"/>
      <w:szCs w:val="20"/>
      <w:lang w:eastAsia="es-ES"/>
    </w:rPr>
  </w:style>
  <w:style w:type="paragraph" w:styleId="Piedepgina">
    <w:name w:val="footer"/>
    <w:basedOn w:val="Normal"/>
    <w:link w:val="PiedepginaCar"/>
    <w:uiPriority w:val="99"/>
    <w:rsid w:val="008F7F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8F7F6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8F7F6A"/>
    <w:pPr>
      <w:spacing w:after="0" w:line="240" w:lineRule="auto"/>
    </w:pPr>
    <w:rPr>
      <w:rFonts w:ascii="Calibri" w:eastAsia="Calibri" w:hAnsi="Calibri" w:cs="Times New Roman"/>
    </w:rPr>
  </w:style>
  <w:style w:type="paragraph" w:styleId="Textosinformato">
    <w:name w:val="Plain Text"/>
    <w:basedOn w:val="Normal"/>
    <w:link w:val="TextosinformatoCar"/>
    <w:uiPriority w:val="99"/>
    <w:unhideWhenUsed/>
    <w:rsid w:val="008F7F6A"/>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8F7F6A"/>
    <w:rPr>
      <w:rFonts w:ascii="Consolas" w:eastAsia="Times New Roman" w:hAnsi="Consolas" w:cs="Times New Roman"/>
      <w:sz w:val="21"/>
      <w:szCs w:val="21"/>
      <w:lang w:val="x-none" w:eastAsia="es-ES"/>
    </w:rPr>
  </w:style>
  <w:style w:type="paragraph" w:styleId="Textoindependiente">
    <w:name w:val="Body Text"/>
    <w:basedOn w:val="Normal"/>
    <w:link w:val="TextoindependienteCar"/>
    <w:rsid w:val="008F7F6A"/>
    <w:pPr>
      <w:spacing w:after="0" w:line="240" w:lineRule="auto"/>
      <w:jc w:val="both"/>
    </w:pPr>
    <w:rPr>
      <w:rFonts w:ascii="Arial" w:eastAsia="Times New Roman" w:hAnsi="Arial" w:cs="Times New Roman"/>
      <w:sz w:val="27"/>
      <w:szCs w:val="20"/>
      <w:lang w:val="es-ES" w:eastAsia="es-ES"/>
    </w:rPr>
  </w:style>
  <w:style w:type="character" w:customStyle="1" w:styleId="TextoindependienteCar">
    <w:name w:val="Texto independiente Car"/>
    <w:basedOn w:val="Fuentedeprrafopredeter"/>
    <w:link w:val="Textoindependiente"/>
    <w:rsid w:val="008F7F6A"/>
    <w:rPr>
      <w:rFonts w:ascii="Arial" w:eastAsia="Times New Roman" w:hAnsi="Arial" w:cs="Times New Roman"/>
      <w:sz w:val="27"/>
      <w:szCs w:val="20"/>
      <w:lang w:val="es-ES" w:eastAsia="es-ES"/>
    </w:rPr>
  </w:style>
  <w:style w:type="paragraph" w:styleId="Textoindependiente2">
    <w:name w:val="Body Text 2"/>
    <w:basedOn w:val="Normal"/>
    <w:link w:val="Textoindependiente2Car"/>
    <w:rsid w:val="008F7F6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8F7F6A"/>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8F7F6A"/>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8F7F6A"/>
    <w:rPr>
      <w:rFonts w:ascii="Arial" w:eastAsia="Times New Roman" w:hAnsi="Arial" w:cs="Times New Roman"/>
      <w:sz w:val="27"/>
      <w:szCs w:val="20"/>
      <w:lang w:val="es-ES_tradnl" w:eastAsia="es-ES"/>
    </w:rPr>
  </w:style>
  <w:style w:type="paragraph" w:styleId="Textoindependiente3">
    <w:name w:val="Body Text 3"/>
    <w:basedOn w:val="Normal"/>
    <w:link w:val="Textoindependiente3Car"/>
    <w:rsid w:val="008F7F6A"/>
    <w:pPr>
      <w:spacing w:after="0" w:line="240" w:lineRule="auto"/>
      <w:jc w:val="both"/>
    </w:pPr>
    <w:rPr>
      <w:rFonts w:ascii="Arial" w:eastAsia="Times New Roman" w:hAnsi="Arial" w:cs="Times New Roman"/>
      <w:sz w:val="18"/>
      <w:szCs w:val="20"/>
      <w:lang w:val="es-ES" w:eastAsia="es-ES"/>
    </w:rPr>
  </w:style>
  <w:style w:type="character" w:customStyle="1" w:styleId="Textoindependiente3Car">
    <w:name w:val="Texto independiente 3 Car"/>
    <w:basedOn w:val="Fuentedeprrafopredeter"/>
    <w:link w:val="Textoindependiente3"/>
    <w:rsid w:val="008F7F6A"/>
    <w:rPr>
      <w:rFonts w:ascii="Arial" w:eastAsia="Times New Roman" w:hAnsi="Arial" w:cs="Times New Roman"/>
      <w:sz w:val="18"/>
      <w:szCs w:val="20"/>
      <w:lang w:val="es-ES" w:eastAsia="es-ES"/>
    </w:rPr>
  </w:style>
  <w:style w:type="paragraph" w:styleId="Sangradetextonormal">
    <w:name w:val="Body Text Indent"/>
    <w:basedOn w:val="Normal"/>
    <w:link w:val="SangradetextonormalCar"/>
    <w:rsid w:val="008F7F6A"/>
    <w:pPr>
      <w:spacing w:after="0" w:line="240" w:lineRule="auto"/>
      <w:ind w:firstLine="1418"/>
      <w:jc w:val="both"/>
    </w:pPr>
    <w:rPr>
      <w:rFonts w:ascii="Tahoma" w:eastAsia="Times New Roman" w:hAnsi="Tahoma" w:cs="Times New Roman"/>
      <w:sz w:val="24"/>
      <w:szCs w:val="20"/>
      <w:lang w:val="es-ES" w:eastAsia="es-ES"/>
    </w:rPr>
  </w:style>
  <w:style w:type="character" w:customStyle="1" w:styleId="SangradetextonormalCar">
    <w:name w:val="Sangría de texto normal Car"/>
    <w:basedOn w:val="Fuentedeprrafopredeter"/>
    <w:link w:val="Sangradetextonormal"/>
    <w:rsid w:val="008F7F6A"/>
    <w:rPr>
      <w:rFonts w:ascii="Tahoma" w:eastAsia="Times New Roman" w:hAnsi="Tahoma" w:cs="Times New Roman"/>
      <w:sz w:val="24"/>
      <w:szCs w:val="20"/>
      <w:lang w:val="es-ES" w:eastAsia="es-ES"/>
    </w:rPr>
  </w:style>
  <w:style w:type="paragraph" w:customStyle="1" w:styleId="ListaCC">
    <w:name w:val="Lista CC."/>
    <w:basedOn w:val="Normal"/>
    <w:rsid w:val="008F7F6A"/>
    <w:pPr>
      <w:spacing w:after="0" w:line="240" w:lineRule="auto"/>
    </w:pPr>
    <w:rPr>
      <w:rFonts w:ascii="Times New Roman" w:eastAsia="Times New Roman" w:hAnsi="Times New Roman" w:cs="Times New Roman"/>
      <w:sz w:val="20"/>
      <w:szCs w:val="20"/>
      <w:lang w:val="es-ES_tradnl" w:eastAsia="es-ES"/>
    </w:rPr>
  </w:style>
  <w:style w:type="paragraph" w:styleId="Textodebloque">
    <w:name w:val="Block Text"/>
    <w:basedOn w:val="Normal"/>
    <w:rsid w:val="008F7F6A"/>
    <w:pPr>
      <w:spacing w:after="0" w:line="240" w:lineRule="auto"/>
      <w:ind w:left="708" w:right="616"/>
      <w:jc w:val="both"/>
    </w:pPr>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8F7F6A"/>
    <w:pPr>
      <w:spacing w:after="0" w:line="240" w:lineRule="auto"/>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8F7F6A"/>
    <w:rPr>
      <w:rFonts w:ascii="Antique Olive" w:eastAsia="Times New Roman" w:hAnsi="Antique Olive" w:cs="Times New Roman"/>
      <w:sz w:val="27"/>
      <w:szCs w:val="20"/>
      <w:lang w:val="es-ES_tradnl" w:eastAsia="es-ES"/>
    </w:rPr>
  </w:style>
  <w:style w:type="paragraph" w:styleId="Listaconvietas">
    <w:name w:val="List Bullet"/>
    <w:basedOn w:val="Normal"/>
    <w:autoRedefine/>
    <w:rsid w:val="008F7F6A"/>
    <w:pPr>
      <w:numPr>
        <w:numId w:val="2"/>
      </w:numPr>
      <w:spacing w:after="0" w:line="240" w:lineRule="auto"/>
    </w:pPr>
    <w:rPr>
      <w:rFonts w:ascii="Arial" w:eastAsia="Times New Roman" w:hAnsi="Arial" w:cs="Times New Roman"/>
      <w:sz w:val="26"/>
      <w:szCs w:val="20"/>
      <w:lang w:val="es-ES" w:eastAsia="es-ES"/>
    </w:rPr>
  </w:style>
  <w:style w:type="paragraph" w:styleId="Ttulo">
    <w:name w:val="Title"/>
    <w:basedOn w:val="Normal"/>
    <w:link w:val="TtuloCar"/>
    <w:qFormat/>
    <w:rsid w:val="008F7F6A"/>
    <w:pPr>
      <w:spacing w:after="0" w:line="240" w:lineRule="auto"/>
      <w:jc w:val="center"/>
    </w:pPr>
    <w:rPr>
      <w:rFonts w:ascii="Antique Olive" w:eastAsia="Times New Roman" w:hAnsi="Antique Olive" w:cs="Times New Roman"/>
      <w:b/>
      <w:sz w:val="24"/>
      <w:szCs w:val="20"/>
      <w:lang w:val="es-ES_tradnl" w:eastAsia="es-ES"/>
    </w:rPr>
  </w:style>
  <w:style w:type="character" w:customStyle="1" w:styleId="TtuloCar">
    <w:name w:val="Título Car"/>
    <w:basedOn w:val="Fuentedeprrafopredeter"/>
    <w:link w:val="Ttulo"/>
    <w:rsid w:val="008F7F6A"/>
    <w:rPr>
      <w:rFonts w:ascii="Antique Olive" w:eastAsia="Times New Roman" w:hAnsi="Antique Olive" w:cs="Times New Roman"/>
      <w:b/>
      <w:sz w:val="24"/>
      <w:szCs w:val="20"/>
      <w:lang w:val="es-ES_tradnl" w:eastAsia="es-ES"/>
    </w:rPr>
  </w:style>
  <w:style w:type="character" w:styleId="Nmerodepgina">
    <w:name w:val="page number"/>
    <w:basedOn w:val="Fuentedeprrafopredeter"/>
    <w:rsid w:val="008F7F6A"/>
  </w:style>
  <w:style w:type="paragraph" w:styleId="Mapadeldocumento">
    <w:name w:val="Document Map"/>
    <w:basedOn w:val="Normal"/>
    <w:link w:val="MapadeldocumentoCar"/>
    <w:uiPriority w:val="99"/>
    <w:rsid w:val="008F7F6A"/>
    <w:pPr>
      <w:shd w:val="clear" w:color="auto" w:fill="000080"/>
      <w:spacing w:after="0" w:line="240" w:lineRule="auto"/>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8F7F6A"/>
    <w:rPr>
      <w:rFonts w:ascii="Tahoma" w:eastAsia="Times New Roman" w:hAnsi="Tahoma" w:cs="Tahoma"/>
      <w:sz w:val="26"/>
      <w:szCs w:val="20"/>
      <w:shd w:val="clear" w:color="auto" w:fill="000080"/>
      <w:lang w:val="es-ES" w:eastAsia="es-ES"/>
    </w:rPr>
  </w:style>
  <w:style w:type="table" w:styleId="Tablaconcuadrcula">
    <w:name w:val="Table Grid"/>
    <w:basedOn w:val="Tablanormal"/>
    <w:uiPriority w:val="39"/>
    <w:rsid w:val="008F7F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F6A"/>
    <w:pPr>
      <w:spacing w:after="0" w:line="240" w:lineRule="auto"/>
      <w:ind w:left="708"/>
    </w:pPr>
    <w:rPr>
      <w:rFonts w:ascii="Arial" w:eastAsia="Times New Roman" w:hAnsi="Arial" w:cs="Times New Roman"/>
      <w:sz w:val="26"/>
      <w:szCs w:val="20"/>
      <w:lang w:val="es-ES" w:eastAsia="es-ES"/>
    </w:rPr>
  </w:style>
  <w:style w:type="paragraph" w:customStyle="1" w:styleId="Default">
    <w:name w:val="Default"/>
    <w:rsid w:val="008F7F6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unhideWhenUsed/>
    <w:rsid w:val="008F7F6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F7F6A"/>
    <w:rPr>
      <w:rFonts w:ascii="Tahoma" w:eastAsia="Times New Roman" w:hAnsi="Tahoma" w:cs="Tahoma"/>
      <w:sz w:val="16"/>
      <w:szCs w:val="16"/>
      <w:lang w:val="es-ES" w:eastAsia="es-ES"/>
    </w:rPr>
  </w:style>
  <w:style w:type="numbering" w:customStyle="1" w:styleId="Sinlista11">
    <w:name w:val="Sin lista11"/>
    <w:next w:val="Sinlista"/>
    <w:uiPriority w:val="99"/>
    <w:semiHidden/>
    <w:unhideWhenUsed/>
    <w:rsid w:val="008F7F6A"/>
  </w:style>
  <w:style w:type="character" w:styleId="Refdenotaalpie">
    <w:name w:val="footnote reference"/>
    <w:uiPriority w:val="99"/>
    <w:rsid w:val="008F7F6A"/>
  </w:style>
  <w:style w:type="paragraph" w:styleId="NormalWeb">
    <w:name w:val="Normal (Web)"/>
    <w:basedOn w:val="Normal"/>
    <w:uiPriority w:val="99"/>
    <w:rsid w:val="008F7F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NOTACION">
    <w:name w:val="ANOTACION"/>
    <w:basedOn w:val="Normal"/>
    <w:rsid w:val="008F7F6A"/>
    <w:pPr>
      <w:spacing w:before="101" w:after="101" w:line="240" w:lineRule="auto"/>
      <w:jc w:val="center"/>
    </w:pPr>
    <w:rPr>
      <w:rFonts w:ascii="Times New Roman" w:eastAsia="Times New Roman" w:hAnsi="Times New Roman" w:cs="Times New Roman"/>
      <w:b/>
      <w:sz w:val="18"/>
      <w:szCs w:val="20"/>
      <w:lang w:val="es-ES" w:eastAsia="es-ES"/>
    </w:rPr>
  </w:style>
  <w:style w:type="paragraph" w:customStyle="1" w:styleId="Texto">
    <w:name w:val="Texto"/>
    <w:basedOn w:val="Normal"/>
    <w:rsid w:val="008F7F6A"/>
    <w:pPr>
      <w:spacing w:after="101" w:line="216" w:lineRule="exact"/>
      <w:ind w:firstLine="288"/>
      <w:jc w:val="both"/>
    </w:pPr>
    <w:rPr>
      <w:rFonts w:ascii="Arial" w:eastAsia="Times New Roman" w:hAnsi="Arial" w:cs="Times New Roman"/>
      <w:sz w:val="18"/>
      <w:szCs w:val="18"/>
      <w:lang w:eastAsia="es-MX"/>
    </w:rPr>
  </w:style>
  <w:style w:type="paragraph" w:customStyle="1" w:styleId="msobodytextindent0">
    <w:name w:val="msobodytextindent"/>
    <w:basedOn w:val="Normal"/>
    <w:rsid w:val="008F7F6A"/>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8F7F6A"/>
    <w:rPr>
      <w:color w:val="0000FF"/>
      <w:u w:val="single"/>
    </w:rPr>
  </w:style>
  <w:style w:type="paragraph" w:customStyle="1" w:styleId="Textoindependiente21">
    <w:name w:val="Texto independiente 21"/>
    <w:basedOn w:val="Normal"/>
    <w:rsid w:val="008F7F6A"/>
    <w:pPr>
      <w:spacing w:after="0" w:line="24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rsid w:val="008F7F6A"/>
    <w:rPr>
      <w:sz w:val="16"/>
      <w:szCs w:val="16"/>
    </w:rPr>
  </w:style>
  <w:style w:type="paragraph" w:styleId="Textocomentario">
    <w:name w:val="annotation text"/>
    <w:basedOn w:val="Normal"/>
    <w:link w:val="TextocomentarioCar"/>
    <w:uiPriority w:val="99"/>
    <w:rsid w:val="008F7F6A"/>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8F7F6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rsid w:val="008F7F6A"/>
    <w:rPr>
      <w:b/>
      <w:bCs/>
    </w:rPr>
  </w:style>
  <w:style w:type="character" w:customStyle="1" w:styleId="AsuntodelcomentarioCar">
    <w:name w:val="Asunto del comentario Car"/>
    <w:basedOn w:val="TextocomentarioCar"/>
    <w:link w:val="Asuntodelcomentario"/>
    <w:uiPriority w:val="99"/>
    <w:rsid w:val="008F7F6A"/>
    <w:rPr>
      <w:rFonts w:ascii="Times New Roman" w:eastAsia="Times New Roman" w:hAnsi="Times New Roman" w:cs="Times New Roman"/>
      <w:b/>
      <w:bCs/>
      <w:sz w:val="20"/>
      <w:szCs w:val="20"/>
      <w:lang w:val="es-ES_tradnl" w:eastAsia="es-ES_tradnl"/>
    </w:rPr>
  </w:style>
  <w:style w:type="paragraph" w:styleId="Textonotapie">
    <w:name w:val="footnote text"/>
    <w:basedOn w:val="Normal"/>
    <w:link w:val="TextonotapieCar"/>
    <w:uiPriority w:val="99"/>
    <w:rsid w:val="008F7F6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8F7F6A"/>
    <w:rPr>
      <w:rFonts w:ascii="Arial" w:eastAsia="Times New Roman" w:hAnsi="Arial" w:cs="Times New Roman"/>
      <w:sz w:val="20"/>
      <w:szCs w:val="20"/>
      <w:lang w:eastAsia="es-ES"/>
    </w:rPr>
  </w:style>
  <w:style w:type="character" w:customStyle="1" w:styleId="MapadeldocumentoCar1">
    <w:name w:val="Mapa del documento Car1"/>
    <w:basedOn w:val="Fuentedeprrafopredeter"/>
    <w:rsid w:val="008F7F6A"/>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8F7F6A"/>
  </w:style>
  <w:style w:type="table" w:customStyle="1" w:styleId="Tablaconcuadrcula1">
    <w:name w:val="Tabla con cuadrícula1"/>
    <w:basedOn w:val="Tablanormal"/>
    <w:next w:val="Tablaconcuadrcula"/>
    <w:uiPriority w:val="59"/>
    <w:rsid w:val="008F7F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8F7F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8F7F6A"/>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8F7F6A"/>
    <w:pPr>
      <w:numPr>
        <w:numId w:val="3"/>
      </w:numPr>
      <w:spacing w:after="0" w:line="240" w:lineRule="auto"/>
    </w:pPr>
    <w:rPr>
      <w:rFonts w:ascii="Tahoma" w:eastAsia="Times New Roman" w:hAnsi="Tahoma" w:cs="Tahoma"/>
      <w:sz w:val="26"/>
      <w:szCs w:val="20"/>
      <w:lang w:val="es-ES" w:eastAsia="es-ES"/>
    </w:rPr>
  </w:style>
  <w:style w:type="paragraph" w:customStyle="1" w:styleId="ecxmsolistparagraph">
    <w:name w:val="ecxmsolistparagraph"/>
    <w:basedOn w:val="Normal"/>
    <w:rsid w:val="008F7F6A"/>
    <w:pPr>
      <w:spacing w:after="324"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8F7F6A"/>
    <w:pPr>
      <w:spacing w:after="324" w:line="240" w:lineRule="auto"/>
    </w:pPr>
    <w:rPr>
      <w:rFonts w:ascii="Times New Roman" w:eastAsia="Times New Roman" w:hAnsi="Times New Roman" w:cs="Times New Roman"/>
      <w:sz w:val="24"/>
      <w:szCs w:val="24"/>
      <w:lang w:val="es-ES" w:eastAsia="es-ES"/>
    </w:rPr>
  </w:style>
  <w:style w:type="numbering" w:customStyle="1" w:styleId="Sinlista111">
    <w:name w:val="Sin lista111"/>
    <w:next w:val="Sinlista"/>
    <w:uiPriority w:val="99"/>
    <w:semiHidden/>
    <w:unhideWhenUsed/>
    <w:rsid w:val="008F7F6A"/>
  </w:style>
  <w:style w:type="numbering" w:customStyle="1" w:styleId="Sinlista3">
    <w:name w:val="Sin lista3"/>
    <w:next w:val="Sinlista"/>
    <w:uiPriority w:val="99"/>
    <w:semiHidden/>
    <w:unhideWhenUsed/>
    <w:rsid w:val="008F7F6A"/>
  </w:style>
  <w:style w:type="character" w:customStyle="1" w:styleId="A0">
    <w:name w:val="A0"/>
    <w:uiPriority w:val="99"/>
    <w:rsid w:val="008F7F6A"/>
    <w:rPr>
      <w:rFonts w:cs="MDEAAP+FranklinGothic-Demi"/>
      <w:b/>
      <w:bCs/>
      <w:color w:val="000000"/>
      <w:sz w:val="48"/>
      <w:szCs w:val="48"/>
    </w:rPr>
  </w:style>
  <w:style w:type="paragraph" w:customStyle="1" w:styleId="Listavistosa-nfasis11">
    <w:name w:val="Lista vistosa - Énfasis 11"/>
    <w:basedOn w:val="Normal"/>
    <w:uiPriority w:val="34"/>
    <w:qFormat/>
    <w:rsid w:val="008F7F6A"/>
    <w:pPr>
      <w:ind w:left="720"/>
      <w:contextualSpacing/>
    </w:pPr>
    <w:rPr>
      <w:rFonts w:ascii="Calibri" w:eastAsia="Calibri" w:hAnsi="Calibri" w:cs="Times New Roman"/>
    </w:rPr>
  </w:style>
  <w:style w:type="table" w:customStyle="1" w:styleId="Tablaconcuadrcula2">
    <w:name w:val="Tabla con cuadrícula2"/>
    <w:basedOn w:val="Tablanormal"/>
    <w:next w:val="Tablaconcuadrcula"/>
    <w:uiPriority w:val="59"/>
    <w:rsid w:val="008F7F6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8F7F6A"/>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8F7F6A"/>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8F7F6A"/>
  </w:style>
  <w:style w:type="character" w:styleId="Textoennegrita">
    <w:name w:val="Strong"/>
    <w:uiPriority w:val="22"/>
    <w:qFormat/>
    <w:rsid w:val="008F7F6A"/>
    <w:rPr>
      <w:b/>
      <w:bCs/>
    </w:rPr>
  </w:style>
  <w:style w:type="paragraph" w:customStyle="1" w:styleId="paragraph">
    <w:name w:val="paragraph"/>
    <w:basedOn w:val="Normal"/>
    <w:rsid w:val="008F7F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F7F6A"/>
  </w:style>
  <w:style w:type="character" w:customStyle="1" w:styleId="eop">
    <w:name w:val="eop"/>
    <w:basedOn w:val="Fuentedeprrafopredeter"/>
    <w:rsid w:val="008F7F6A"/>
  </w:style>
  <w:style w:type="table" w:customStyle="1" w:styleId="Tablaconcuadrcula11">
    <w:name w:val="Tabla con cuadrícula11"/>
    <w:basedOn w:val="Tablanormal"/>
    <w:next w:val="Tablaconcuadrcula"/>
    <w:uiPriority w:val="59"/>
    <w:rsid w:val="008F7F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8F7F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F7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F7F6A"/>
  </w:style>
  <w:style w:type="paragraph" w:customStyle="1" w:styleId="Cuadrculamedia22">
    <w:name w:val="Cuadrícula media 22"/>
    <w:uiPriority w:val="1"/>
    <w:qFormat/>
    <w:rsid w:val="008F7F6A"/>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8F7F6A"/>
    <w:rPr>
      <w:rFonts w:ascii="Calibri" w:eastAsia="Calibri" w:hAnsi="Calibri" w:cs="Times New Roman"/>
    </w:rPr>
  </w:style>
  <w:style w:type="character" w:customStyle="1" w:styleId="Hipervnculo1">
    <w:name w:val="Hipervínculo1"/>
    <w:basedOn w:val="Fuentedeprrafopredeter"/>
    <w:uiPriority w:val="99"/>
    <w:unhideWhenUsed/>
    <w:rsid w:val="008F7F6A"/>
    <w:rPr>
      <w:color w:val="0563C1"/>
      <w:u w:val="single"/>
    </w:rPr>
  </w:style>
  <w:style w:type="paragraph" w:customStyle="1" w:styleId="CM77">
    <w:name w:val="CM77"/>
    <w:basedOn w:val="Default"/>
    <w:next w:val="Default"/>
    <w:uiPriority w:val="99"/>
    <w:rsid w:val="00DA70A6"/>
    <w:pPr>
      <w:widowControl w:val="0"/>
    </w:pPr>
    <w:rPr>
      <w:rFonts w:eastAsiaTheme="minorEastAsia"/>
      <w:color w:val="auto"/>
      <w:lang w:val="es-MX" w:eastAsia="es-MX"/>
    </w:rPr>
  </w:style>
  <w:style w:type="paragraph" w:customStyle="1" w:styleId="CM79">
    <w:name w:val="CM79"/>
    <w:basedOn w:val="Default"/>
    <w:next w:val="Default"/>
    <w:uiPriority w:val="99"/>
    <w:rsid w:val="00DA70A6"/>
    <w:pPr>
      <w:widowControl w:val="0"/>
    </w:pPr>
    <w:rPr>
      <w:rFonts w:eastAsiaTheme="minorEastAsia"/>
      <w:color w:val="auto"/>
      <w:lang w:val="es-MX" w:eastAsia="es-MX"/>
    </w:rPr>
  </w:style>
  <w:style w:type="paragraph" w:customStyle="1" w:styleId="CM1">
    <w:name w:val="CM1"/>
    <w:basedOn w:val="Default"/>
    <w:next w:val="Default"/>
    <w:uiPriority w:val="99"/>
    <w:rsid w:val="00D30555"/>
    <w:pPr>
      <w:widowControl w:val="0"/>
    </w:pPr>
    <w:rPr>
      <w:rFonts w:eastAsiaTheme="minorEastAsia"/>
      <w:color w:val="auto"/>
      <w:lang w:val="es-MX" w:eastAsia="es-MX"/>
    </w:rPr>
  </w:style>
  <w:style w:type="paragraph" w:customStyle="1" w:styleId="CM78">
    <w:name w:val="CM78"/>
    <w:basedOn w:val="Default"/>
    <w:next w:val="Default"/>
    <w:uiPriority w:val="99"/>
    <w:rsid w:val="00D30555"/>
    <w:pPr>
      <w:widowControl w:val="0"/>
    </w:pPr>
    <w:rPr>
      <w:rFonts w:eastAsiaTheme="minorEastAsia"/>
      <w:color w:val="auto"/>
      <w:lang w:val="es-MX" w:eastAsia="es-MX"/>
    </w:rPr>
  </w:style>
  <w:style w:type="paragraph" w:customStyle="1" w:styleId="CM80">
    <w:name w:val="CM80"/>
    <w:basedOn w:val="Default"/>
    <w:next w:val="Default"/>
    <w:uiPriority w:val="99"/>
    <w:rsid w:val="00D30555"/>
    <w:pPr>
      <w:widowControl w:val="0"/>
    </w:pPr>
    <w:rPr>
      <w:rFonts w:eastAsiaTheme="minorEastAsia"/>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13140</Words>
  <Characters>72276</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2020-10-14T16:19:00Z</dcterms:created>
  <dcterms:modified xsi:type="dcterms:W3CDTF">2020-10-14T16:19:00Z</dcterms:modified>
</cp:coreProperties>
</file>