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9214A2">
        <w:rPr>
          <w:b/>
          <w:bCs/>
          <w:sz w:val="24"/>
        </w:rPr>
        <w:t>9</w:t>
      </w:r>
      <w:r w:rsidRPr="00477904">
        <w:rPr>
          <w:b/>
          <w:bCs/>
          <w:sz w:val="24"/>
        </w:rPr>
        <w:t xml:space="preserve">:00 horas del día </w:t>
      </w:r>
      <w:r w:rsidR="007B1AD6">
        <w:rPr>
          <w:b/>
          <w:bCs/>
          <w:sz w:val="24"/>
        </w:rPr>
        <w:t>07</w:t>
      </w:r>
      <w:r w:rsidRPr="00477904">
        <w:rPr>
          <w:b/>
          <w:bCs/>
          <w:sz w:val="24"/>
        </w:rPr>
        <w:t xml:space="preserve"> de </w:t>
      </w:r>
      <w:r w:rsidR="007B1AD6">
        <w:rPr>
          <w:b/>
          <w:bCs/>
          <w:sz w:val="24"/>
        </w:rPr>
        <w:t xml:space="preserve">septiembre </w:t>
      </w:r>
      <w:r w:rsidRPr="00477904">
        <w:rPr>
          <w:b/>
          <w:bCs/>
          <w:sz w:val="24"/>
        </w:rPr>
        <w:t xml:space="preserve">del presente año, en la Sala de Comisiones “Luis Donaldo Colosio Murrieta” del Palacio Legislativo “Venustiano Carranza”, con objeto de </w:t>
      </w:r>
      <w:r w:rsidR="00A844B4" w:rsidRPr="00477904">
        <w:rPr>
          <w:b/>
          <w:sz w:val="24"/>
        </w:rPr>
        <w:t>Confirmar, modificar o revocar la clasificación de la información que realicen los titulares de las áreas de los sujetos obligados dentro de la solicitud</w:t>
      </w:r>
      <w:r w:rsidR="007030DC">
        <w:rPr>
          <w:b/>
          <w:sz w:val="24"/>
        </w:rPr>
        <w:t>es</w:t>
      </w:r>
      <w:r w:rsidR="00A844B4" w:rsidRPr="00477904">
        <w:rPr>
          <w:b/>
          <w:sz w:val="24"/>
        </w:rPr>
        <w:t xml:space="preserve">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w:t>
      </w:r>
      <w:r w:rsidR="007030DC">
        <w:rPr>
          <w:b/>
          <w:sz w:val="24"/>
        </w:rPr>
        <w:t>s</w:t>
      </w:r>
      <w:r w:rsidR="00A844B4" w:rsidRPr="00477904">
        <w:rPr>
          <w:b/>
          <w:sz w:val="24"/>
        </w:rPr>
        <w:t xml:space="preserve"> </w:t>
      </w:r>
      <w:r w:rsidR="00590C3C">
        <w:rPr>
          <w:b/>
          <w:sz w:val="24"/>
        </w:rPr>
        <w:t>00</w:t>
      </w:r>
      <w:r w:rsidR="007B1AD6">
        <w:rPr>
          <w:b/>
          <w:sz w:val="24"/>
        </w:rPr>
        <w:t>677120</w:t>
      </w:r>
      <w:r w:rsidR="00590C3C">
        <w:rPr>
          <w:b/>
          <w:sz w:val="24"/>
        </w:rPr>
        <w:t xml:space="preserve">, </w:t>
      </w:r>
      <w:r w:rsidR="00A376F9" w:rsidRPr="00477904">
        <w:rPr>
          <w:b/>
          <w:sz w:val="24"/>
        </w:rPr>
        <w:t xml:space="preserve">planteada por </w:t>
      </w:r>
      <w:r w:rsidR="00590C3C">
        <w:rPr>
          <w:b/>
          <w:sz w:val="24"/>
        </w:rPr>
        <w:t xml:space="preserve">el </w:t>
      </w:r>
      <w:r w:rsidR="00373FF7">
        <w:rPr>
          <w:b/>
          <w:sz w:val="24"/>
        </w:rPr>
        <w:t xml:space="preserve">C. </w:t>
      </w:r>
      <w:r w:rsidR="007B1AD6">
        <w:rPr>
          <w:b/>
          <w:sz w:val="24"/>
        </w:rPr>
        <w:t>Juan Escalante Ramírez</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590C3C" w:rsidRDefault="00590C3C" w:rsidP="00590C3C">
      <w:pPr>
        <w:spacing w:line="360" w:lineRule="auto"/>
        <w:ind w:left="-142" w:right="-285"/>
        <w:jc w:val="center"/>
        <w:rPr>
          <w:b/>
          <w:bCs/>
        </w:rPr>
      </w:pPr>
    </w:p>
    <w:p w:rsidR="00590C3C" w:rsidRPr="00590C3C" w:rsidRDefault="00590C3C" w:rsidP="00590C3C">
      <w:pPr>
        <w:spacing w:line="360" w:lineRule="auto"/>
        <w:ind w:left="-142" w:right="-285"/>
        <w:jc w:val="center"/>
        <w:rPr>
          <w:b/>
          <w:bCs/>
        </w:rPr>
      </w:pPr>
      <w:r w:rsidRPr="00590C3C">
        <w:rPr>
          <w:b/>
          <w:bCs/>
        </w:rPr>
        <w:t>A T E N T A M E N T E.</w:t>
      </w:r>
    </w:p>
    <w:p w:rsidR="00590C3C" w:rsidRPr="00590C3C" w:rsidRDefault="00590C3C" w:rsidP="00590C3C">
      <w:pPr>
        <w:spacing w:line="360" w:lineRule="auto"/>
        <w:ind w:left="-142" w:right="-285"/>
        <w:jc w:val="center"/>
        <w:rPr>
          <w:b/>
          <w:bCs/>
        </w:rPr>
      </w:pPr>
      <w:r w:rsidRPr="00590C3C">
        <w:rPr>
          <w:b/>
          <w:bCs/>
        </w:rPr>
        <w:t xml:space="preserve">SALTILLO, COAHUILA, A </w:t>
      </w:r>
      <w:r w:rsidR="007B1AD6">
        <w:rPr>
          <w:b/>
          <w:bCs/>
        </w:rPr>
        <w:t>04</w:t>
      </w:r>
      <w:r w:rsidRPr="00590C3C">
        <w:rPr>
          <w:b/>
          <w:bCs/>
        </w:rPr>
        <w:t xml:space="preserve"> DE </w:t>
      </w:r>
      <w:r w:rsidR="007B1AD6">
        <w:rPr>
          <w:b/>
          <w:bCs/>
        </w:rPr>
        <w:t>SEPTIEMBRE</w:t>
      </w:r>
      <w:r w:rsidRPr="00590C3C">
        <w:rPr>
          <w:b/>
          <w:bCs/>
        </w:rPr>
        <w:t xml:space="preserve"> DEL 2020.</w:t>
      </w:r>
    </w:p>
    <w:p w:rsidR="00590C3C" w:rsidRPr="00590C3C" w:rsidRDefault="00590C3C" w:rsidP="00590C3C">
      <w:pPr>
        <w:spacing w:line="360" w:lineRule="auto"/>
        <w:ind w:left="-142" w:right="-285"/>
        <w:jc w:val="center"/>
        <w:rPr>
          <w:b/>
          <w:bCs/>
        </w:rPr>
      </w:pPr>
      <w:r w:rsidRPr="00590C3C">
        <w:rPr>
          <w:b/>
          <w:bCs/>
        </w:rPr>
        <w:t>EL PRESIDENTE DEL COMITÉ DE TRANSPARENCIA.</w:t>
      </w:r>
    </w:p>
    <w:p w:rsidR="00590C3C" w:rsidRPr="00590C3C" w:rsidRDefault="00590C3C" w:rsidP="00590C3C">
      <w:pPr>
        <w:spacing w:line="360" w:lineRule="auto"/>
        <w:ind w:right="1"/>
        <w:jc w:val="center"/>
        <w:rPr>
          <w:b/>
          <w:bCs/>
        </w:rPr>
      </w:pPr>
      <w:r w:rsidRPr="00590C3C">
        <w:rPr>
          <w:rFonts w:ascii="Arial" w:hAnsi="Arial" w:cs="Arial"/>
          <w:b/>
          <w:noProof/>
          <w:lang w:val="es-MX" w:eastAsia="es-MX"/>
        </w:rPr>
        <w:drawing>
          <wp:inline distT="0" distB="0" distL="0" distR="0" wp14:anchorId="5F6986EE" wp14:editId="6E6A33CC">
            <wp:extent cx="2686050" cy="1038225"/>
            <wp:effectExtent l="0" t="0" r="0" b="0"/>
            <wp:docPr id="6" name="Imagen 6"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ind w:right="1"/>
        <w:jc w:val="center"/>
        <w:rPr>
          <w:b/>
          <w:bCs/>
          <w:sz w:val="28"/>
          <w:szCs w:val="28"/>
        </w:rPr>
      </w:pPr>
      <w:r w:rsidRPr="00590C3C">
        <w:rPr>
          <w:b/>
          <w:bCs/>
        </w:rPr>
        <w:t>LIC. GERARDO BLANCO GUERRA.</w:t>
      </w:r>
    </w:p>
    <w:p w:rsidR="00590C3C" w:rsidRPr="00590C3C" w:rsidRDefault="00590C3C" w:rsidP="00590C3C">
      <w:pPr>
        <w:spacing w:line="360" w:lineRule="auto"/>
        <w:ind w:right="1"/>
        <w:jc w:val="center"/>
        <w:rPr>
          <w:b/>
          <w:bCs/>
          <w:sz w:val="28"/>
          <w:szCs w:val="28"/>
        </w:rPr>
      </w:pPr>
    </w:p>
    <w:p w:rsidR="00590C3C" w:rsidRDefault="00590C3C" w:rsidP="00373FF7">
      <w:pPr>
        <w:pStyle w:val="Textoindependiente"/>
        <w:ind w:right="1"/>
        <w:jc w:val="center"/>
        <w:rPr>
          <w:b/>
          <w:bCs/>
          <w:szCs w:val="28"/>
        </w:rPr>
      </w:pPr>
    </w:p>
    <w:p w:rsidR="00590C3C" w:rsidRPr="00590C3C" w:rsidRDefault="00590C3C" w:rsidP="00590C3C">
      <w:pPr>
        <w:spacing w:line="360" w:lineRule="auto"/>
        <w:ind w:right="1"/>
        <w:jc w:val="center"/>
        <w:rPr>
          <w:b/>
          <w:bCs/>
          <w:sz w:val="36"/>
          <w:szCs w:val="36"/>
        </w:rPr>
      </w:pPr>
      <w:r w:rsidRPr="00590C3C">
        <w:rPr>
          <w:b/>
          <w:bCs/>
          <w:sz w:val="36"/>
          <w:szCs w:val="36"/>
        </w:rPr>
        <w:lastRenderedPageBreak/>
        <w:t>LISTA DE ASISTENCIA</w:t>
      </w:r>
    </w:p>
    <w:p w:rsidR="00590C3C" w:rsidRPr="00590C3C" w:rsidRDefault="00590C3C" w:rsidP="00590C3C">
      <w:pPr>
        <w:spacing w:line="360" w:lineRule="auto"/>
        <w:ind w:right="1"/>
        <w:jc w:val="center"/>
        <w:rPr>
          <w:b/>
          <w:bCs/>
          <w:sz w:val="28"/>
          <w:szCs w:val="28"/>
        </w:rPr>
      </w:pPr>
      <w:r w:rsidRPr="00590C3C">
        <w:rPr>
          <w:b/>
          <w:bCs/>
          <w:sz w:val="28"/>
          <w:szCs w:val="28"/>
        </w:rPr>
        <w:t>REUNIÓN DEL COMITÉ DE TRANSPARENCIA.</w:t>
      </w:r>
    </w:p>
    <w:p w:rsidR="00590C3C" w:rsidRPr="00590C3C" w:rsidRDefault="007B1AD6" w:rsidP="00590C3C">
      <w:pPr>
        <w:spacing w:line="360" w:lineRule="auto"/>
        <w:ind w:right="1"/>
        <w:jc w:val="center"/>
        <w:rPr>
          <w:b/>
          <w:bCs/>
          <w:sz w:val="28"/>
          <w:szCs w:val="28"/>
        </w:rPr>
      </w:pPr>
      <w:r>
        <w:rPr>
          <w:b/>
          <w:bCs/>
          <w:sz w:val="28"/>
          <w:szCs w:val="28"/>
        </w:rPr>
        <w:t>07</w:t>
      </w:r>
      <w:r w:rsidR="00590C3C" w:rsidRPr="00590C3C">
        <w:rPr>
          <w:b/>
          <w:bCs/>
          <w:sz w:val="28"/>
          <w:szCs w:val="28"/>
        </w:rPr>
        <w:t xml:space="preserve"> DE </w:t>
      </w:r>
      <w:r>
        <w:rPr>
          <w:b/>
          <w:bCs/>
          <w:sz w:val="28"/>
          <w:szCs w:val="28"/>
        </w:rPr>
        <w:t>SEPTIEMBRE</w:t>
      </w:r>
      <w:r w:rsidR="00590C3C" w:rsidRPr="00590C3C">
        <w:rPr>
          <w:b/>
          <w:bCs/>
          <w:sz w:val="28"/>
          <w:szCs w:val="28"/>
        </w:rPr>
        <w:t xml:space="preserve"> DEL 2020.</w:t>
      </w:r>
    </w:p>
    <w:p w:rsidR="00590C3C" w:rsidRPr="00590C3C" w:rsidRDefault="00590C3C" w:rsidP="00590C3C">
      <w:pPr>
        <w:spacing w:line="360" w:lineRule="auto"/>
        <w:jc w:val="center"/>
        <w:rPr>
          <w:rFonts w:ascii="Arial" w:hAnsi="Arial" w:cs="Arial"/>
          <w:b/>
        </w:rPr>
      </w:pPr>
      <w:r w:rsidRPr="00590C3C">
        <w:rPr>
          <w:rFonts w:ascii="Arial" w:hAnsi="Arial" w:cs="Arial"/>
          <w:b/>
          <w:noProof/>
          <w:lang w:val="es-MX" w:eastAsia="es-MX"/>
        </w:rPr>
        <w:drawing>
          <wp:inline distT="0" distB="0" distL="0" distR="0" wp14:anchorId="289C9AA7" wp14:editId="1AE5B630">
            <wp:extent cx="2686050" cy="1038225"/>
            <wp:effectExtent l="0" t="0" r="0" b="0"/>
            <wp:docPr id="7" name="Imagen 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jc w:val="center"/>
        <w:rPr>
          <w:rFonts w:ascii="Arial" w:hAnsi="Arial" w:cs="Arial"/>
          <w:b/>
        </w:rPr>
      </w:pPr>
      <w:r w:rsidRPr="00590C3C">
        <w:rPr>
          <w:rFonts w:ascii="Arial" w:hAnsi="Arial" w:cs="Arial"/>
          <w:b/>
        </w:rPr>
        <w:t>LIC. GERARDO BLANCO GUERRA.</w:t>
      </w:r>
    </w:p>
    <w:p w:rsidR="00590C3C" w:rsidRPr="00590C3C" w:rsidRDefault="00590C3C" w:rsidP="00590C3C">
      <w:pPr>
        <w:spacing w:line="360" w:lineRule="auto"/>
        <w:jc w:val="center"/>
        <w:rPr>
          <w:rFonts w:ascii="Arial" w:hAnsi="Arial" w:cs="Arial"/>
          <w:b/>
        </w:rPr>
      </w:pPr>
      <w:r w:rsidRPr="00590C3C">
        <w:rPr>
          <w:rFonts w:ascii="Arial" w:hAnsi="Arial" w:cs="Arial"/>
          <w:b/>
        </w:rPr>
        <w:t>PRESIDENTE</w:t>
      </w:r>
    </w:p>
    <w:p w:rsidR="00590C3C" w:rsidRPr="00590C3C" w:rsidRDefault="00590C3C" w:rsidP="00590C3C">
      <w:pPr>
        <w:ind w:right="-518"/>
        <w:jc w:val="both"/>
        <w:rPr>
          <w:rFonts w:ascii="Candara" w:eastAsia="Calibri" w:hAnsi="Candara" w:cs="Arial"/>
          <w:b/>
          <w:lang w:eastAsia="en-US"/>
        </w:rPr>
      </w:pPr>
      <w:r w:rsidRPr="00590C3C">
        <w:rPr>
          <w:rFonts w:ascii="Candara" w:eastAsia="Calibri" w:hAnsi="Candara" w:cs="Arial"/>
          <w:b/>
          <w:noProof/>
          <w:lang w:val="es-MX" w:eastAsia="es-MX"/>
        </w:rPr>
        <w:t xml:space="preserve">                                           </w:t>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noProof/>
          <w:lang w:val="es-MX" w:eastAsia="es-MX"/>
        </w:rPr>
        <w:drawing>
          <wp:inline distT="0" distB="0" distL="0" distR="0" wp14:anchorId="798B07C8" wp14:editId="65B67446">
            <wp:extent cx="2076450" cy="857250"/>
            <wp:effectExtent l="0" t="0" r="0" b="0"/>
            <wp:docPr id="8" name="Imagen 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lang w:eastAsia="en-US"/>
        </w:rPr>
        <w:t xml:space="preserve">LIC. MIGUEL ANGEL FLORES LUIS. </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VOCAL.</w:t>
      </w:r>
    </w:p>
    <w:p w:rsidR="00590C3C" w:rsidRDefault="00590C3C" w:rsidP="00590C3C">
      <w:pPr>
        <w:tabs>
          <w:tab w:val="left" w:pos="5954"/>
        </w:tabs>
        <w:spacing w:line="360" w:lineRule="auto"/>
        <w:ind w:right="1"/>
        <w:jc w:val="center"/>
        <w:rPr>
          <w:rFonts w:ascii="Arial" w:hAnsi="Arial" w:cs="Arial"/>
          <w:b/>
          <w:noProof/>
          <w:sz w:val="28"/>
          <w:lang w:val="es-MX" w:eastAsia="es-MX"/>
        </w:rPr>
      </w:pPr>
    </w:p>
    <w:p w:rsidR="007B1AD6" w:rsidRPr="007B1AD6" w:rsidRDefault="007B1AD6" w:rsidP="007B1AD6">
      <w:pPr>
        <w:ind w:right="-234"/>
        <w:jc w:val="center"/>
        <w:rPr>
          <w:rFonts w:ascii="Arial" w:eastAsia="Calibri" w:hAnsi="Arial" w:cs="Arial"/>
          <w:b/>
          <w:sz w:val="22"/>
          <w:lang w:eastAsia="en-US"/>
        </w:rPr>
      </w:pPr>
      <w:r w:rsidRPr="007B1AD6">
        <w:rPr>
          <w:rFonts w:ascii="Arial" w:eastAsia="Calibri" w:hAnsi="Arial" w:cs="Arial"/>
          <w:b/>
          <w:noProof/>
          <w:sz w:val="22"/>
          <w:lang w:val="es-MX" w:eastAsia="es-MX"/>
        </w:rPr>
        <w:drawing>
          <wp:inline distT="0" distB="0" distL="0" distR="0">
            <wp:extent cx="3150870" cy="894715"/>
            <wp:effectExtent l="0" t="0" r="0" b="0"/>
            <wp:docPr id="1" name="Imagen 1"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7B1AD6" w:rsidRPr="007B1AD6" w:rsidRDefault="007B1AD6" w:rsidP="007B1AD6">
      <w:pPr>
        <w:ind w:right="-234"/>
        <w:jc w:val="center"/>
        <w:rPr>
          <w:rFonts w:ascii="Arial" w:eastAsia="Calibri" w:hAnsi="Arial" w:cs="Arial"/>
          <w:b/>
          <w:sz w:val="22"/>
          <w:lang w:eastAsia="en-US"/>
        </w:rPr>
      </w:pPr>
      <w:r w:rsidRPr="007B1AD6">
        <w:rPr>
          <w:rFonts w:ascii="Arial" w:eastAsia="Calibri" w:hAnsi="Arial" w:cs="Arial"/>
          <w:b/>
          <w:sz w:val="22"/>
          <w:lang w:eastAsia="en-US"/>
        </w:rPr>
        <w:t>LIC. ELSA FABIOLA SIFUENTES ORTIZ.</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SECRETARIO</w:t>
      </w:r>
      <w:r w:rsidR="007B1AD6">
        <w:rPr>
          <w:rFonts w:ascii="Arial" w:eastAsia="Calibri" w:hAnsi="Arial" w:cs="Arial"/>
          <w:b/>
          <w:sz w:val="22"/>
          <w:szCs w:val="22"/>
          <w:lang w:val="es-MX" w:eastAsia="en-US"/>
        </w:rPr>
        <w:t xml:space="preserve"> INTERINO</w:t>
      </w:r>
      <w:r w:rsidRPr="00590C3C">
        <w:rPr>
          <w:rFonts w:ascii="Arial" w:eastAsia="Calibri" w:hAnsi="Arial" w:cs="Arial"/>
          <w:b/>
          <w:sz w:val="22"/>
          <w:szCs w:val="22"/>
          <w:lang w:val="es-MX" w:eastAsia="en-US"/>
        </w:rPr>
        <w:t xml:space="preserve">. </w:t>
      </w:r>
    </w:p>
    <w:p w:rsidR="00BA66CD" w:rsidRDefault="00BA66CD"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A85631" w:rsidRPr="00F16025" w:rsidRDefault="00EB644B" w:rsidP="00A85631">
      <w:pPr>
        <w:pStyle w:val="Textoindependiente"/>
        <w:ind w:right="1"/>
        <w:rPr>
          <w:b/>
          <w:bCs/>
          <w:sz w:val="26"/>
          <w:szCs w:val="26"/>
        </w:rPr>
      </w:pPr>
      <w:r w:rsidRPr="00F16025">
        <w:rPr>
          <w:b/>
          <w:bCs/>
          <w:sz w:val="26"/>
          <w:szCs w:val="26"/>
        </w:rPr>
        <w:lastRenderedPageBreak/>
        <w:t>A</w:t>
      </w:r>
      <w:r w:rsidR="00A85631" w:rsidRPr="00F16025">
        <w:rPr>
          <w:b/>
          <w:bCs/>
          <w:sz w:val="26"/>
          <w:szCs w:val="26"/>
        </w:rPr>
        <w:t xml:space="preserve">CTA DE LA REUNIÓN CELEBRADA POR EL COMITÉ DE </w:t>
      </w:r>
      <w:r w:rsidR="00680BD7" w:rsidRPr="00F16025">
        <w:rPr>
          <w:b/>
          <w:bCs/>
          <w:sz w:val="26"/>
          <w:szCs w:val="26"/>
        </w:rPr>
        <w:t>TRANSPARENCIA</w:t>
      </w:r>
      <w:r w:rsidR="00A85631" w:rsidRPr="00F16025">
        <w:rPr>
          <w:b/>
          <w:bCs/>
          <w:sz w:val="26"/>
          <w:szCs w:val="26"/>
        </w:rPr>
        <w:t xml:space="preserve"> DE LA LX</w:t>
      </w:r>
      <w:r w:rsidR="00BA66CD" w:rsidRPr="00F16025">
        <w:rPr>
          <w:b/>
          <w:bCs/>
          <w:sz w:val="26"/>
          <w:szCs w:val="26"/>
        </w:rPr>
        <w:t>I</w:t>
      </w:r>
      <w:r w:rsidR="00A85631" w:rsidRPr="00F16025">
        <w:rPr>
          <w:b/>
          <w:bCs/>
          <w:sz w:val="26"/>
          <w:szCs w:val="26"/>
        </w:rPr>
        <w:t xml:space="preserve"> LEGISLATURA DEL CONGRESO DEL ESTADO, EL DÍA </w:t>
      </w:r>
      <w:r w:rsidR="007B1AD6">
        <w:rPr>
          <w:b/>
          <w:bCs/>
          <w:sz w:val="26"/>
          <w:szCs w:val="26"/>
        </w:rPr>
        <w:t>07</w:t>
      </w:r>
      <w:r w:rsidR="00A40345" w:rsidRPr="00F16025">
        <w:rPr>
          <w:b/>
          <w:bCs/>
          <w:sz w:val="26"/>
          <w:szCs w:val="26"/>
        </w:rPr>
        <w:t xml:space="preserve"> </w:t>
      </w:r>
      <w:r w:rsidR="00A85631" w:rsidRPr="00F16025">
        <w:rPr>
          <w:b/>
          <w:bCs/>
          <w:sz w:val="26"/>
          <w:szCs w:val="26"/>
        </w:rPr>
        <w:t xml:space="preserve">DEL MES </w:t>
      </w:r>
      <w:r w:rsidR="002C785A" w:rsidRPr="00F16025">
        <w:rPr>
          <w:b/>
          <w:bCs/>
          <w:sz w:val="26"/>
          <w:szCs w:val="26"/>
        </w:rPr>
        <w:t xml:space="preserve">DE </w:t>
      </w:r>
      <w:r w:rsidR="007B1AD6">
        <w:rPr>
          <w:b/>
          <w:bCs/>
          <w:sz w:val="26"/>
          <w:szCs w:val="26"/>
        </w:rPr>
        <w:t>SEPTIEMBRE</w:t>
      </w:r>
      <w:r w:rsidR="00A40345" w:rsidRPr="00F16025">
        <w:rPr>
          <w:b/>
          <w:bCs/>
          <w:sz w:val="26"/>
          <w:szCs w:val="26"/>
        </w:rPr>
        <w:t xml:space="preserve"> </w:t>
      </w:r>
      <w:r w:rsidR="00A85631" w:rsidRPr="00F16025">
        <w:rPr>
          <w:b/>
          <w:bCs/>
          <w:sz w:val="26"/>
          <w:szCs w:val="26"/>
        </w:rPr>
        <w:t>DEL AÑO 20</w:t>
      </w:r>
      <w:r w:rsidR="00F16025" w:rsidRPr="00F16025">
        <w:rPr>
          <w:b/>
          <w:bCs/>
          <w:sz w:val="26"/>
          <w:szCs w:val="26"/>
        </w:rPr>
        <w:t>20</w:t>
      </w:r>
      <w:r w:rsidR="00A85631" w:rsidRPr="00F16025">
        <w:rPr>
          <w:b/>
          <w:bCs/>
          <w:sz w:val="26"/>
          <w:szCs w:val="26"/>
        </w:rPr>
        <w:t>.</w:t>
      </w:r>
    </w:p>
    <w:p w:rsidR="00C902FA" w:rsidRPr="00F16025" w:rsidRDefault="00C902FA" w:rsidP="00A85631">
      <w:pPr>
        <w:pStyle w:val="Textoindependiente"/>
        <w:ind w:right="1"/>
        <w:rPr>
          <w:b/>
          <w:bCs/>
          <w:sz w:val="26"/>
          <w:szCs w:val="26"/>
        </w:rPr>
      </w:pPr>
    </w:p>
    <w:p w:rsidR="00A40345" w:rsidRPr="00F16025" w:rsidRDefault="00A85631" w:rsidP="00A40345">
      <w:pPr>
        <w:pStyle w:val="Textoindependiente"/>
        <w:ind w:right="1"/>
        <w:rPr>
          <w:b/>
          <w:bCs/>
          <w:sz w:val="26"/>
          <w:szCs w:val="26"/>
        </w:rPr>
      </w:pPr>
      <w:r w:rsidRPr="00F16025">
        <w:rPr>
          <w:b/>
          <w:bCs/>
          <w:sz w:val="26"/>
          <w:szCs w:val="26"/>
        </w:rPr>
        <w:t xml:space="preserve">En la ciudad de Saltillo, Coahuila de Zaragoza, siendo las </w:t>
      </w:r>
      <w:r w:rsidR="00853527">
        <w:rPr>
          <w:b/>
          <w:bCs/>
          <w:sz w:val="26"/>
          <w:szCs w:val="26"/>
        </w:rPr>
        <w:t>09</w:t>
      </w:r>
      <w:r w:rsidRPr="00F16025">
        <w:rPr>
          <w:b/>
          <w:bCs/>
          <w:sz w:val="26"/>
          <w:szCs w:val="26"/>
        </w:rPr>
        <w:t>:</w:t>
      </w:r>
      <w:r w:rsidR="00853527">
        <w:rPr>
          <w:b/>
          <w:bCs/>
          <w:sz w:val="26"/>
          <w:szCs w:val="26"/>
        </w:rPr>
        <w:t>10</w:t>
      </w:r>
      <w:r w:rsidRPr="00F16025">
        <w:rPr>
          <w:b/>
          <w:bCs/>
          <w:sz w:val="26"/>
          <w:szCs w:val="26"/>
        </w:rPr>
        <w:t xml:space="preserve"> horas del día </w:t>
      </w:r>
      <w:r w:rsidR="007B1AD6">
        <w:rPr>
          <w:b/>
          <w:bCs/>
          <w:sz w:val="26"/>
          <w:szCs w:val="26"/>
        </w:rPr>
        <w:t>07</w:t>
      </w:r>
      <w:r w:rsidRPr="00F16025">
        <w:rPr>
          <w:b/>
          <w:bCs/>
          <w:sz w:val="26"/>
          <w:szCs w:val="26"/>
        </w:rPr>
        <w:t xml:space="preserve"> de</w:t>
      </w:r>
      <w:r w:rsidR="00035308" w:rsidRPr="00F16025">
        <w:rPr>
          <w:b/>
          <w:bCs/>
          <w:sz w:val="26"/>
          <w:szCs w:val="26"/>
        </w:rPr>
        <w:t xml:space="preserve"> </w:t>
      </w:r>
      <w:r w:rsidR="007B1AD6">
        <w:rPr>
          <w:b/>
          <w:bCs/>
          <w:sz w:val="26"/>
          <w:szCs w:val="26"/>
        </w:rPr>
        <w:t xml:space="preserve">septiembre </w:t>
      </w:r>
      <w:r w:rsidRPr="00F16025">
        <w:rPr>
          <w:b/>
          <w:bCs/>
          <w:sz w:val="26"/>
          <w:szCs w:val="26"/>
        </w:rPr>
        <w:t>de</w:t>
      </w:r>
      <w:r w:rsidR="00BA66CD" w:rsidRPr="00F16025">
        <w:rPr>
          <w:b/>
          <w:bCs/>
          <w:sz w:val="26"/>
          <w:szCs w:val="26"/>
        </w:rPr>
        <w:t>l</w:t>
      </w:r>
      <w:r w:rsidRPr="00F16025">
        <w:rPr>
          <w:b/>
          <w:bCs/>
          <w:sz w:val="26"/>
          <w:szCs w:val="26"/>
        </w:rPr>
        <w:t xml:space="preserve"> 20</w:t>
      </w:r>
      <w:r w:rsidR="00F16025" w:rsidRPr="00F16025">
        <w:rPr>
          <w:b/>
          <w:bCs/>
          <w:sz w:val="26"/>
          <w:szCs w:val="26"/>
        </w:rPr>
        <w:t>20</w:t>
      </w:r>
      <w:r w:rsidRPr="00F16025">
        <w:rPr>
          <w:b/>
          <w:bCs/>
          <w:sz w:val="26"/>
          <w:szCs w:val="26"/>
        </w:rPr>
        <w:t xml:space="preserve">, el Comité de </w:t>
      </w:r>
      <w:r w:rsidR="00680BD7" w:rsidRPr="00F16025">
        <w:rPr>
          <w:b/>
          <w:bCs/>
          <w:sz w:val="26"/>
          <w:szCs w:val="26"/>
        </w:rPr>
        <w:t>Transparencia</w:t>
      </w:r>
      <w:r w:rsidR="009F7361" w:rsidRPr="00F16025">
        <w:rPr>
          <w:b/>
          <w:bCs/>
          <w:sz w:val="26"/>
          <w:szCs w:val="26"/>
        </w:rPr>
        <w:t xml:space="preserve"> de este Congreso</w:t>
      </w:r>
      <w:r w:rsidRPr="00F16025">
        <w:rPr>
          <w:b/>
          <w:bCs/>
          <w:sz w:val="26"/>
          <w:szCs w:val="26"/>
        </w:rPr>
        <w:t xml:space="preserve">, celebró una reunión de trabajo en la Sala de Comisiones “Luis Donaldo Colosio Murrieta” del Palacio Legislativo “Venustiano Carranza”, con la asistencia del </w:t>
      </w:r>
      <w:r w:rsidR="00A40345" w:rsidRPr="00F16025">
        <w:rPr>
          <w:b/>
          <w:bCs/>
          <w:sz w:val="26"/>
          <w:szCs w:val="26"/>
        </w:rPr>
        <w:t xml:space="preserve">Oficial Mayor el </w:t>
      </w:r>
      <w:r w:rsidR="00F16025" w:rsidRPr="00F16025">
        <w:rPr>
          <w:b/>
          <w:bCs/>
          <w:sz w:val="26"/>
          <w:szCs w:val="26"/>
        </w:rPr>
        <w:t>Lic. Gerardo Blanco Guerra</w:t>
      </w:r>
      <w:r w:rsidR="00A40345" w:rsidRPr="00F16025">
        <w:rPr>
          <w:b/>
          <w:bCs/>
          <w:sz w:val="26"/>
          <w:szCs w:val="26"/>
        </w:rPr>
        <w:t xml:space="preserve"> (Presidente), el Tesorero el </w:t>
      </w:r>
      <w:r w:rsidR="00F16025" w:rsidRPr="00F16025">
        <w:rPr>
          <w:b/>
          <w:bCs/>
          <w:sz w:val="26"/>
          <w:szCs w:val="26"/>
        </w:rPr>
        <w:t xml:space="preserve">Lic. Miguel Ángel Flores Luis </w:t>
      </w:r>
      <w:r w:rsidR="00A40345" w:rsidRPr="00F16025">
        <w:rPr>
          <w:b/>
          <w:bCs/>
          <w:sz w:val="26"/>
          <w:szCs w:val="26"/>
        </w:rPr>
        <w:t>(</w:t>
      </w:r>
      <w:r w:rsidR="00BA66CD" w:rsidRPr="00F16025">
        <w:rPr>
          <w:b/>
          <w:bCs/>
          <w:sz w:val="26"/>
          <w:szCs w:val="26"/>
        </w:rPr>
        <w:t>Vocal</w:t>
      </w:r>
      <w:r w:rsidR="00A40345" w:rsidRPr="00F16025">
        <w:rPr>
          <w:b/>
          <w:bCs/>
          <w:sz w:val="26"/>
          <w:szCs w:val="26"/>
        </w:rPr>
        <w:t>) y Directora Jurídica</w:t>
      </w:r>
      <w:r w:rsidR="007B1AD6">
        <w:rPr>
          <w:b/>
          <w:bCs/>
          <w:sz w:val="26"/>
          <w:szCs w:val="26"/>
        </w:rPr>
        <w:t xml:space="preserve"> Interina </w:t>
      </w:r>
      <w:r w:rsidR="00A40345" w:rsidRPr="00F16025">
        <w:rPr>
          <w:b/>
          <w:bCs/>
          <w:sz w:val="26"/>
          <w:szCs w:val="26"/>
        </w:rPr>
        <w:t xml:space="preserve">Lic. </w:t>
      </w:r>
      <w:r w:rsidR="007B1AD6">
        <w:rPr>
          <w:b/>
          <w:bCs/>
          <w:sz w:val="26"/>
          <w:szCs w:val="26"/>
        </w:rPr>
        <w:t>Elsa Fabiola Sifuentes Ortiz</w:t>
      </w:r>
      <w:r w:rsidR="00A40345" w:rsidRPr="00F16025">
        <w:rPr>
          <w:b/>
          <w:bCs/>
          <w:sz w:val="26"/>
          <w:szCs w:val="26"/>
        </w:rPr>
        <w:t xml:space="preserve"> (</w:t>
      </w:r>
      <w:r w:rsidR="00BA66CD" w:rsidRPr="00F16025">
        <w:rPr>
          <w:b/>
          <w:bCs/>
          <w:sz w:val="26"/>
          <w:szCs w:val="26"/>
        </w:rPr>
        <w:t>Secretario</w:t>
      </w:r>
      <w:r w:rsidR="00A40345" w:rsidRPr="00F16025">
        <w:rPr>
          <w:b/>
          <w:bCs/>
          <w:sz w:val="26"/>
          <w:szCs w:val="26"/>
        </w:rPr>
        <w:t>)</w:t>
      </w:r>
      <w:r w:rsidR="00BA66CD" w:rsidRPr="00F16025">
        <w:rPr>
          <w:b/>
          <w:bCs/>
          <w:sz w:val="26"/>
          <w:szCs w:val="26"/>
        </w:rPr>
        <w:t xml:space="preserve">. </w:t>
      </w:r>
    </w:p>
    <w:p w:rsidR="00A40345" w:rsidRPr="00F16025" w:rsidRDefault="00A403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Al confirmarse que había quórum legal para la celebración de esta reunión, a continuación se dio inicio al desarrollo de la misma, conforme al siguiente:</w:t>
      </w:r>
    </w:p>
    <w:p w:rsidR="00A85631" w:rsidRPr="00F16025" w:rsidRDefault="00A85631" w:rsidP="00A85631">
      <w:pPr>
        <w:pStyle w:val="Textoindependiente"/>
        <w:ind w:right="1"/>
        <w:jc w:val="center"/>
        <w:rPr>
          <w:b/>
          <w:bCs/>
          <w:sz w:val="26"/>
          <w:szCs w:val="26"/>
        </w:rPr>
      </w:pPr>
      <w:r w:rsidRPr="00F16025">
        <w:rPr>
          <w:b/>
          <w:bCs/>
          <w:sz w:val="26"/>
          <w:szCs w:val="26"/>
        </w:rPr>
        <w:t>ORDEN DEL DÍA</w:t>
      </w:r>
    </w:p>
    <w:p w:rsidR="00A85631" w:rsidRPr="00F16025" w:rsidRDefault="00A85631" w:rsidP="00A85631">
      <w:pPr>
        <w:pStyle w:val="Textoindependiente"/>
        <w:ind w:right="1"/>
        <w:rPr>
          <w:b/>
          <w:bCs/>
          <w:sz w:val="26"/>
          <w:szCs w:val="26"/>
        </w:rPr>
      </w:pPr>
      <w:r w:rsidRPr="00F16025">
        <w:rPr>
          <w:b/>
          <w:bCs/>
          <w:sz w:val="26"/>
          <w:szCs w:val="26"/>
        </w:rPr>
        <w:t>1.- Lista de Asistencia y declaración de quórum legal.</w:t>
      </w:r>
    </w:p>
    <w:p w:rsidR="00A85631" w:rsidRPr="00F16025" w:rsidRDefault="00A85631" w:rsidP="00A85631">
      <w:pPr>
        <w:pStyle w:val="Textoindependiente"/>
        <w:ind w:right="1"/>
        <w:rPr>
          <w:b/>
          <w:bCs/>
          <w:sz w:val="26"/>
          <w:szCs w:val="26"/>
        </w:rPr>
      </w:pPr>
      <w:r w:rsidRPr="00F16025">
        <w:rPr>
          <w:b/>
          <w:bCs/>
          <w:sz w:val="26"/>
          <w:szCs w:val="26"/>
        </w:rPr>
        <w:t>2.- Orden del Día.</w:t>
      </w:r>
    </w:p>
    <w:p w:rsidR="00A85631" w:rsidRPr="00F16025" w:rsidRDefault="00A85631" w:rsidP="00A85631">
      <w:pPr>
        <w:pStyle w:val="Textoindependiente"/>
        <w:ind w:right="1"/>
        <w:rPr>
          <w:b/>
          <w:bCs/>
          <w:sz w:val="26"/>
          <w:szCs w:val="26"/>
        </w:rPr>
      </w:pPr>
      <w:r w:rsidRPr="00F16025">
        <w:rPr>
          <w:b/>
          <w:bCs/>
          <w:sz w:val="26"/>
          <w:szCs w:val="26"/>
        </w:rPr>
        <w:t xml:space="preserve">3.- </w:t>
      </w:r>
      <w:r w:rsidR="002C785A" w:rsidRPr="00F16025">
        <w:rPr>
          <w:b/>
          <w:bCs/>
          <w:sz w:val="26"/>
          <w:szCs w:val="26"/>
        </w:rPr>
        <w:t>Análisis para c</w:t>
      </w:r>
      <w:r w:rsidR="002C785A" w:rsidRPr="00F16025">
        <w:rPr>
          <w:b/>
          <w:sz w:val="26"/>
          <w:szCs w:val="26"/>
        </w:rPr>
        <w:t>onfirmar, modificar o revocar la clasificación de la información que realicen los titulares de las áreas de los sujetos obligados dentro de la solicitud de Información con No. de folio</w:t>
      </w:r>
      <w:r w:rsidR="007030DC" w:rsidRPr="00F16025">
        <w:rPr>
          <w:b/>
          <w:sz w:val="26"/>
          <w:szCs w:val="26"/>
        </w:rPr>
        <w:t>s</w:t>
      </w:r>
      <w:r w:rsidR="002C785A" w:rsidRPr="00F16025">
        <w:rPr>
          <w:b/>
          <w:sz w:val="26"/>
          <w:szCs w:val="26"/>
        </w:rPr>
        <w:t xml:space="preserve"> </w:t>
      </w:r>
      <w:r w:rsidR="00F16025" w:rsidRPr="00F16025">
        <w:rPr>
          <w:b/>
          <w:sz w:val="26"/>
          <w:szCs w:val="26"/>
        </w:rPr>
        <w:t>00</w:t>
      </w:r>
      <w:r w:rsidR="007B1AD6">
        <w:rPr>
          <w:b/>
          <w:sz w:val="26"/>
          <w:szCs w:val="26"/>
        </w:rPr>
        <w:t>677120</w:t>
      </w:r>
      <w:r w:rsidR="00F16025" w:rsidRPr="00F16025">
        <w:rPr>
          <w:b/>
          <w:sz w:val="26"/>
          <w:szCs w:val="26"/>
        </w:rPr>
        <w:t xml:space="preserve">, planteada por el </w:t>
      </w:r>
      <w:r w:rsidR="007030DC" w:rsidRPr="00F16025">
        <w:rPr>
          <w:b/>
          <w:sz w:val="26"/>
          <w:szCs w:val="26"/>
        </w:rPr>
        <w:t>C</w:t>
      </w:r>
      <w:r w:rsidR="00B20C5C" w:rsidRPr="00F16025">
        <w:rPr>
          <w:b/>
          <w:sz w:val="26"/>
          <w:szCs w:val="26"/>
        </w:rPr>
        <w:t>.</w:t>
      </w:r>
      <w:r w:rsidR="007B1AD6">
        <w:rPr>
          <w:b/>
          <w:sz w:val="26"/>
          <w:szCs w:val="26"/>
        </w:rPr>
        <w:t xml:space="preserve"> Juan Escalante Ramírez</w:t>
      </w:r>
      <w:r w:rsidR="002C785A" w:rsidRPr="00F16025">
        <w:rPr>
          <w:b/>
          <w:sz w:val="26"/>
          <w:szCs w:val="26"/>
        </w:rPr>
        <w:t xml:space="preserve">. </w:t>
      </w:r>
      <w:r w:rsidRPr="00F16025">
        <w:rPr>
          <w:b/>
          <w:bCs/>
          <w:sz w:val="26"/>
          <w:szCs w:val="26"/>
        </w:rPr>
        <w:t>Relatoría de l</w:t>
      </w:r>
      <w:r w:rsidR="00282E6F" w:rsidRPr="00F16025">
        <w:rPr>
          <w:b/>
          <w:bCs/>
          <w:sz w:val="26"/>
          <w:szCs w:val="26"/>
        </w:rPr>
        <w:t xml:space="preserve">a </w:t>
      </w:r>
      <w:r w:rsidR="002C785A" w:rsidRPr="00F16025">
        <w:rPr>
          <w:b/>
          <w:bCs/>
          <w:sz w:val="26"/>
          <w:szCs w:val="26"/>
        </w:rPr>
        <w:t xml:space="preserve">declaración de </w:t>
      </w:r>
      <w:r w:rsidR="00B20C5C" w:rsidRPr="00F16025">
        <w:rPr>
          <w:b/>
          <w:bCs/>
          <w:sz w:val="26"/>
          <w:szCs w:val="26"/>
        </w:rPr>
        <w:t xml:space="preserve">información </w:t>
      </w:r>
      <w:r w:rsidR="00A40345" w:rsidRPr="00F16025">
        <w:rPr>
          <w:b/>
          <w:bCs/>
          <w:sz w:val="26"/>
          <w:szCs w:val="26"/>
        </w:rPr>
        <w:t>r</w:t>
      </w:r>
      <w:r w:rsidR="00EF0488" w:rsidRPr="00F16025">
        <w:rPr>
          <w:b/>
          <w:bCs/>
          <w:sz w:val="26"/>
          <w:szCs w:val="26"/>
        </w:rPr>
        <w:t>e</w:t>
      </w:r>
      <w:r w:rsidR="00A40345" w:rsidRPr="00F16025">
        <w:rPr>
          <w:b/>
          <w:bCs/>
          <w:sz w:val="26"/>
          <w:szCs w:val="26"/>
        </w:rPr>
        <w:t>servada</w:t>
      </w:r>
      <w:r w:rsidR="002C785A" w:rsidRPr="00F16025">
        <w:rPr>
          <w:b/>
          <w:bCs/>
          <w:sz w:val="26"/>
          <w:szCs w:val="26"/>
        </w:rPr>
        <w:t xml:space="preserve"> emitida por la Unidad Administrativa, clasificación e </w:t>
      </w:r>
      <w:r w:rsidR="00282E6F" w:rsidRPr="00F16025">
        <w:rPr>
          <w:b/>
          <w:bCs/>
          <w:sz w:val="26"/>
          <w:szCs w:val="26"/>
        </w:rPr>
        <w:t xml:space="preserve">integración y </w:t>
      </w:r>
      <w:r w:rsidRPr="00F16025">
        <w:rPr>
          <w:b/>
          <w:bCs/>
          <w:sz w:val="26"/>
          <w:szCs w:val="26"/>
        </w:rPr>
        <w:t xml:space="preserve">asuntos que debe conocer </w:t>
      </w:r>
      <w:r w:rsidR="00560EFE" w:rsidRPr="00F16025">
        <w:rPr>
          <w:b/>
          <w:bCs/>
          <w:sz w:val="26"/>
          <w:szCs w:val="26"/>
        </w:rPr>
        <w:t>el</w:t>
      </w:r>
      <w:r w:rsidRPr="00F16025">
        <w:rPr>
          <w:b/>
          <w:bCs/>
          <w:sz w:val="26"/>
          <w:szCs w:val="26"/>
        </w:rPr>
        <w:t xml:space="preserve"> </w:t>
      </w:r>
      <w:r w:rsidR="00560EFE" w:rsidRPr="00F16025">
        <w:rPr>
          <w:b/>
          <w:bCs/>
          <w:sz w:val="26"/>
          <w:szCs w:val="26"/>
        </w:rPr>
        <w:t>Comité</w:t>
      </w:r>
      <w:r w:rsidRPr="00F16025">
        <w:rPr>
          <w:b/>
          <w:bCs/>
          <w:sz w:val="26"/>
          <w:szCs w:val="26"/>
        </w:rPr>
        <w:t>.</w:t>
      </w:r>
    </w:p>
    <w:p w:rsidR="002C785A" w:rsidRPr="00F16025" w:rsidRDefault="002C785A" w:rsidP="00A85631">
      <w:pPr>
        <w:pStyle w:val="Textoindependiente"/>
        <w:ind w:right="1"/>
        <w:rPr>
          <w:b/>
          <w:bCs/>
          <w:sz w:val="26"/>
          <w:szCs w:val="26"/>
        </w:rPr>
      </w:pPr>
    </w:p>
    <w:p w:rsidR="00A85631" w:rsidRPr="00F16025" w:rsidRDefault="00F16025" w:rsidP="00A85631">
      <w:pPr>
        <w:pStyle w:val="Textoindependiente"/>
        <w:ind w:right="1"/>
        <w:rPr>
          <w:b/>
          <w:bCs/>
          <w:sz w:val="26"/>
          <w:szCs w:val="26"/>
        </w:rPr>
      </w:pPr>
      <w:r w:rsidRPr="00F16025">
        <w:rPr>
          <w:b/>
          <w:bCs/>
          <w:sz w:val="26"/>
          <w:szCs w:val="26"/>
        </w:rPr>
        <w:t>4</w:t>
      </w:r>
      <w:r w:rsidR="00A85631" w:rsidRPr="00F16025">
        <w:rPr>
          <w:b/>
          <w:bCs/>
          <w:sz w:val="26"/>
          <w:szCs w:val="26"/>
        </w:rPr>
        <w:t>.- Asuntos generales.</w:t>
      </w:r>
    </w:p>
    <w:p w:rsidR="00282E6F" w:rsidRPr="00F16025" w:rsidRDefault="00282E6F"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lastRenderedPageBreak/>
        <w:t>Después de haberse dado a conocer, el Orden del Día propuesto para el desarrollo de la reunión, fue sometido a consideración y votación, siendo aprobado por unanimidad.</w:t>
      </w:r>
    </w:p>
    <w:p w:rsidR="009F7361" w:rsidRPr="00F16025" w:rsidRDefault="009F7361" w:rsidP="00A85631">
      <w:pPr>
        <w:pStyle w:val="Textoindependiente"/>
        <w:ind w:right="1"/>
        <w:rPr>
          <w:b/>
          <w:bCs/>
          <w:sz w:val="26"/>
          <w:szCs w:val="26"/>
        </w:rPr>
      </w:pPr>
    </w:p>
    <w:p w:rsidR="00661445" w:rsidRPr="00F16025" w:rsidRDefault="006614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 xml:space="preserve">En seguida, se pasó a tratar los asuntos registrados en el Orden del Día, haciendo uso de la palabra el </w:t>
      </w:r>
      <w:r w:rsidR="009F7361" w:rsidRPr="00F16025">
        <w:rPr>
          <w:b/>
          <w:bCs/>
          <w:sz w:val="26"/>
          <w:szCs w:val="26"/>
        </w:rPr>
        <w:t xml:space="preserve">Presidente </w:t>
      </w:r>
      <w:r w:rsidRPr="00F16025">
        <w:rPr>
          <w:b/>
          <w:bCs/>
          <w:sz w:val="26"/>
          <w:szCs w:val="26"/>
        </w:rPr>
        <w:t>d</w:t>
      </w:r>
      <w:r w:rsidR="009F7361" w:rsidRPr="00F16025">
        <w:rPr>
          <w:b/>
          <w:bCs/>
          <w:sz w:val="26"/>
          <w:szCs w:val="26"/>
        </w:rPr>
        <w:t>el</w:t>
      </w:r>
      <w:r w:rsidRPr="00F16025">
        <w:rPr>
          <w:b/>
          <w:bCs/>
          <w:sz w:val="26"/>
          <w:szCs w:val="26"/>
        </w:rPr>
        <w:t xml:space="preserve"> </w:t>
      </w:r>
      <w:r w:rsidR="009F7361" w:rsidRPr="00F16025">
        <w:rPr>
          <w:b/>
          <w:bCs/>
          <w:sz w:val="26"/>
          <w:szCs w:val="26"/>
        </w:rPr>
        <w:t>Comité</w:t>
      </w:r>
      <w:r w:rsidRPr="00F16025">
        <w:rPr>
          <w:b/>
          <w:bCs/>
          <w:sz w:val="26"/>
          <w:szCs w:val="26"/>
        </w:rPr>
        <w:t>, a efecto de dar la bienvenida a los integrantes de la misma.</w:t>
      </w:r>
    </w:p>
    <w:p w:rsidR="009F7361" w:rsidRPr="00F16025" w:rsidRDefault="009F7361" w:rsidP="00A85631">
      <w:pPr>
        <w:pStyle w:val="Textoindependiente"/>
        <w:ind w:right="1"/>
        <w:rPr>
          <w:b/>
          <w:bCs/>
          <w:sz w:val="26"/>
          <w:szCs w:val="26"/>
        </w:rPr>
      </w:pPr>
    </w:p>
    <w:p w:rsidR="00A85631" w:rsidRPr="00F16025" w:rsidRDefault="00A85631" w:rsidP="00A85631">
      <w:pPr>
        <w:pStyle w:val="Textoindependiente"/>
        <w:ind w:right="1"/>
        <w:rPr>
          <w:b/>
          <w:sz w:val="26"/>
          <w:szCs w:val="26"/>
        </w:rPr>
      </w:pPr>
      <w:r w:rsidRPr="00F16025">
        <w:rPr>
          <w:b/>
          <w:bCs/>
          <w:sz w:val="26"/>
          <w:szCs w:val="26"/>
        </w:rPr>
        <w:t xml:space="preserve">Asimismo, hizo </w:t>
      </w:r>
      <w:r w:rsidR="00614A92" w:rsidRPr="00F16025">
        <w:rPr>
          <w:b/>
          <w:bCs/>
          <w:sz w:val="26"/>
          <w:szCs w:val="26"/>
        </w:rPr>
        <w:t>el planteamiento de que este comité analice para c</w:t>
      </w:r>
      <w:r w:rsidR="00614A92" w:rsidRPr="00F16025">
        <w:rPr>
          <w:b/>
          <w:sz w:val="26"/>
          <w:szCs w:val="26"/>
        </w:rPr>
        <w:t xml:space="preserve">onfirmar, modificar o revocar la clasificación de la información </w:t>
      </w:r>
      <w:r w:rsidR="00614A92" w:rsidRPr="00F16025">
        <w:rPr>
          <w:b/>
          <w:bCs/>
          <w:sz w:val="26"/>
          <w:szCs w:val="26"/>
        </w:rPr>
        <w:t>de la Declaración de información</w:t>
      </w:r>
      <w:r w:rsidR="00B20C5C" w:rsidRPr="00F16025">
        <w:rPr>
          <w:b/>
          <w:bCs/>
          <w:sz w:val="26"/>
          <w:szCs w:val="26"/>
        </w:rPr>
        <w:t xml:space="preserve"> </w:t>
      </w:r>
      <w:r w:rsidR="00A40345" w:rsidRPr="00F16025">
        <w:rPr>
          <w:b/>
          <w:bCs/>
          <w:sz w:val="26"/>
          <w:szCs w:val="26"/>
        </w:rPr>
        <w:t xml:space="preserve">reservada </w:t>
      </w:r>
      <w:r w:rsidR="00614A92" w:rsidRPr="00F16025">
        <w:rPr>
          <w:b/>
          <w:bCs/>
          <w:sz w:val="26"/>
          <w:szCs w:val="26"/>
        </w:rPr>
        <w:t xml:space="preserve">de la solicitud </w:t>
      </w:r>
      <w:r w:rsidR="00614A92" w:rsidRPr="00F16025">
        <w:rPr>
          <w:b/>
          <w:sz w:val="26"/>
          <w:szCs w:val="26"/>
        </w:rPr>
        <w:t xml:space="preserve">No. de folio </w:t>
      </w:r>
      <w:r w:rsidR="00F16025" w:rsidRPr="00F16025">
        <w:rPr>
          <w:b/>
          <w:sz w:val="26"/>
          <w:szCs w:val="26"/>
        </w:rPr>
        <w:t>00</w:t>
      </w:r>
      <w:r w:rsidR="007B1AD6">
        <w:rPr>
          <w:b/>
          <w:sz w:val="26"/>
          <w:szCs w:val="26"/>
        </w:rPr>
        <w:t>6771</w:t>
      </w:r>
      <w:r w:rsidR="00F16025" w:rsidRPr="00F16025">
        <w:rPr>
          <w:b/>
          <w:sz w:val="26"/>
          <w:szCs w:val="26"/>
        </w:rPr>
        <w:t>20</w:t>
      </w:r>
      <w:r w:rsidR="00614A92" w:rsidRPr="00F16025">
        <w:rPr>
          <w:b/>
          <w:bCs/>
          <w:sz w:val="26"/>
          <w:szCs w:val="26"/>
        </w:rPr>
        <w:t xml:space="preserve"> planteada a este Congreso, mediante la Plataforma Nacional de Transparencia Vía </w:t>
      </w:r>
      <w:proofErr w:type="spellStart"/>
      <w:r w:rsidR="00614A92" w:rsidRPr="00F16025">
        <w:rPr>
          <w:b/>
          <w:bCs/>
          <w:sz w:val="26"/>
          <w:szCs w:val="26"/>
        </w:rPr>
        <w:t>Infomex</w:t>
      </w:r>
      <w:proofErr w:type="spellEnd"/>
      <w:r w:rsidR="00614A92" w:rsidRPr="00F16025">
        <w:rPr>
          <w:b/>
          <w:bCs/>
          <w:sz w:val="26"/>
          <w:szCs w:val="26"/>
        </w:rPr>
        <w:t xml:space="preserve">-Coahuila. Lo anterior con fundamento en el artículo </w:t>
      </w:r>
      <w:r w:rsidR="00864925" w:rsidRPr="00F16025">
        <w:rPr>
          <w:b/>
          <w:bCs/>
          <w:sz w:val="26"/>
          <w:szCs w:val="26"/>
        </w:rPr>
        <w:t xml:space="preserve">63 al 67 </w:t>
      </w:r>
      <w:r w:rsidRPr="00F16025">
        <w:rPr>
          <w:b/>
          <w:bCs/>
          <w:sz w:val="26"/>
          <w:szCs w:val="26"/>
        </w:rPr>
        <w:t>de la Ley</w:t>
      </w:r>
      <w:r w:rsidR="00F96D51" w:rsidRPr="00F16025">
        <w:rPr>
          <w:rFonts w:ascii="Arial" w:hAnsi="Arial" w:cs="Arial"/>
          <w:sz w:val="26"/>
          <w:szCs w:val="26"/>
        </w:rPr>
        <w:t xml:space="preserve"> </w:t>
      </w:r>
      <w:r w:rsidR="00F96D51" w:rsidRPr="00F16025">
        <w:rPr>
          <w:b/>
          <w:sz w:val="26"/>
          <w:szCs w:val="26"/>
        </w:rPr>
        <w:t>de Acceso a la Información Pública para el Estado de Coahuila de Zaragoza</w:t>
      </w:r>
      <w:r w:rsidR="00864925" w:rsidRPr="00F16025">
        <w:rPr>
          <w:b/>
          <w:sz w:val="26"/>
          <w:szCs w:val="26"/>
        </w:rPr>
        <w:t>.</w:t>
      </w:r>
    </w:p>
    <w:p w:rsidR="00EB644B" w:rsidRPr="00F16025" w:rsidRDefault="00EB644B" w:rsidP="00A85631">
      <w:pPr>
        <w:pStyle w:val="Textoindependiente"/>
        <w:ind w:right="1"/>
        <w:rPr>
          <w:b/>
          <w:bCs/>
          <w:sz w:val="26"/>
          <w:szCs w:val="26"/>
        </w:rPr>
      </w:pPr>
    </w:p>
    <w:p w:rsidR="003B2A6E" w:rsidRPr="00F16025" w:rsidRDefault="003B2A6E" w:rsidP="00A85631">
      <w:pPr>
        <w:pStyle w:val="Textoindependiente"/>
        <w:ind w:right="1"/>
        <w:rPr>
          <w:b/>
          <w:bCs/>
          <w:sz w:val="26"/>
          <w:szCs w:val="26"/>
        </w:rPr>
      </w:pPr>
      <w:r w:rsidRPr="00F16025">
        <w:rPr>
          <w:b/>
          <w:bCs/>
          <w:sz w:val="26"/>
          <w:szCs w:val="26"/>
        </w:rPr>
        <w:t>D</w:t>
      </w:r>
      <w:r w:rsidR="00A85631" w:rsidRPr="00F16025">
        <w:rPr>
          <w:b/>
          <w:bCs/>
          <w:sz w:val="26"/>
          <w:szCs w:val="26"/>
        </w:rPr>
        <w:t xml:space="preserve">espués de breves comentarios realizados por los integrantes del Comité y de manifestar </w:t>
      </w:r>
      <w:r w:rsidRPr="00F16025">
        <w:rPr>
          <w:b/>
          <w:bCs/>
          <w:sz w:val="26"/>
          <w:szCs w:val="26"/>
        </w:rPr>
        <w:t xml:space="preserve">lo sometieron a su clasificación, votación y declaran por unanimidad de votos la </w:t>
      </w:r>
      <w:r w:rsidR="00EF0488" w:rsidRPr="00F16025">
        <w:rPr>
          <w:b/>
          <w:bCs/>
          <w:sz w:val="26"/>
          <w:szCs w:val="26"/>
        </w:rPr>
        <w:t xml:space="preserve">reserva </w:t>
      </w:r>
      <w:r w:rsidRPr="00F16025">
        <w:rPr>
          <w:b/>
          <w:bCs/>
          <w:sz w:val="26"/>
          <w:szCs w:val="26"/>
        </w:rPr>
        <w:t>de la información de la solicitud</w:t>
      </w:r>
      <w:r w:rsidR="007030DC" w:rsidRPr="00F16025">
        <w:rPr>
          <w:b/>
          <w:bCs/>
          <w:sz w:val="26"/>
          <w:szCs w:val="26"/>
        </w:rPr>
        <w:t xml:space="preserve"> </w:t>
      </w:r>
      <w:r w:rsidR="00F16025" w:rsidRPr="00F16025">
        <w:rPr>
          <w:b/>
          <w:sz w:val="26"/>
          <w:szCs w:val="26"/>
        </w:rPr>
        <w:t>00</w:t>
      </w:r>
      <w:r w:rsidR="007B1AD6">
        <w:rPr>
          <w:b/>
          <w:sz w:val="26"/>
          <w:szCs w:val="26"/>
        </w:rPr>
        <w:t>6771</w:t>
      </w:r>
      <w:r w:rsidR="00F16025" w:rsidRPr="00F16025">
        <w:rPr>
          <w:b/>
          <w:sz w:val="26"/>
          <w:szCs w:val="26"/>
        </w:rPr>
        <w:t>20</w:t>
      </w:r>
      <w:r w:rsidR="007030DC" w:rsidRPr="00F16025">
        <w:rPr>
          <w:b/>
          <w:bCs/>
          <w:sz w:val="26"/>
          <w:szCs w:val="26"/>
        </w:rPr>
        <w:t xml:space="preserve"> </w:t>
      </w:r>
      <w:r w:rsidRPr="00F16025">
        <w:rPr>
          <w:b/>
          <w:bCs/>
          <w:sz w:val="26"/>
          <w:szCs w:val="26"/>
        </w:rPr>
        <w:t xml:space="preserve">al encuadrar en la hipótesis prevista en el artículo </w:t>
      </w:r>
      <w:r w:rsidR="004E4CB8" w:rsidRPr="00F16025">
        <w:rPr>
          <w:b/>
          <w:bCs/>
          <w:sz w:val="26"/>
          <w:szCs w:val="26"/>
        </w:rPr>
        <w:t>6</w:t>
      </w:r>
      <w:r w:rsidR="00EF0488" w:rsidRPr="00F16025">
        <w:rPr>
          <w:b/>
          <w:bCs/>
          <w:sz w:val="26"/>
          <w:szCs w:val="26"/>
        </w:rPr>
        <w:t xml:space="preserve">5 fracción I, 88 fracción II y 60 fracción I </w:t>
      </w:r>
      <w:r w:rsidR="004E4CB8" w:rsidRPr="00F16025">
        <w:rPr>
          <w:b/>
          <w:bCs/>
          <w:sz w:val="26"/>
          <w:szCs w:val="26"/>
        </w:rPr>
        <w:t>de la Ley</w:t>
      </w:r>
      <w:r w:rsidR="004E4CB8" w:rsidRPr="00F16025">
        <w:rPr>
          <w:rFonts w:ascii="Arial" w:hAnsi="Arial" w:cs="Arial"/>
          <w:sz w:val="26"/>
          <w:szCs w:val="26"/>
        </w:rPr>
        <w:t xml:space="preserve"> </w:t>
      </w:r>
      <w:r w:rsidR="004E4CB8" w:rsidRPr="00F16025">
        <w:rPr>
          <w:b/>
          <w:sz w:val="26"/>
          <w:szCs w:val="26"/>
        </w:rPr>
        <w:t>de Acceso a la Información Pública para el Estado de Coahuila de Zaragoza</w:t>
      </w:r>
      <w:r w:rsidR="00EF0488" w:rsidRPr="00F16025">
        <w:rPr>
          <w:b/>
          <w:sz w:val="26"/>
          <w:szCs w:val="26"/>
        </w:rPr>
        <w:t>. P</w:t>
      </w:r>
      <w:r w:rsidR="00AD3B0F" w:rsidRPr="00F16025">
        <w:rPr>
          <w:b/>
          <w:sz w:val="26"/>
          <w:szCs w:val="26"/>
        </w:rPr>
        <w:t>or lo que emítase y notifíquese la resolución correspondiente</w:t>
      </w:r>
      <w:r w:rsidRPr="00F16025">
        <w:rPr>
          <w:b/>
          <w:sz w:val="26"/>
          <w:szCs w:val="26"/>
        </w:rPr>
        <w:t>.</w:t>
      </w:r>
    </w:p>
    <w:p w:rsidR="003B2A6E" w:rsidRPr="00F16025" w:rsidRDefault="003B2A6E" w:rsidP="00A85631">
      <w:pPr>
        <w:pStyle w:val="Textoindependiente"/>
        <w:ind w:right="1"/>
        <w:rPr>
          <w:b/>
          <w:bCs/>
          <w:sz w:val="26"/>
          <w:szCs w:val="26"/>
        </w:rPr>
      </w:pPr>
    </w:p>
    <w:p w:rsidR="00A85631" w:rsidRPr="00F16025" w:rsidRDefault="003B2A6E" w:rsidP="00A85631">
      <w:pPr>
        <w:pStyle w:val="Textoindependiente"/>
        <w:ind w:right="1"/>
        <w:rPr>
          <w:b/>
          <w:bCs/>
          <w:sz w:val="26"/>
          <w:szCs w:val="26"/>
        </w:rPr>
      </w:pPr>
      <w:r w:rsidRPr="00F16025">
        <w:rPr>
          <w:b/>
          <w:bCs/>
          <w:sz w:val="26"/>
          <w:szCs w:val="26"/>
        </w:rPr>
        <w:t xml:space="preserve">Por lo que siendo </w:t>
      </w:r>
      <w:r w:rsidR="00A85631" w:rsidRPr="00F16025">
        <w:rPr>
          <w:b/>
          <w:bCs/>
          <w:sz w:val="26"/>
          <w:szCs w:val="26"/>
        </w:rPr>
        <w:t xml:space="preserve">las </w:t>
      </w:r>
      <w:r w:rsidR="00F16025" w:rsidRPr="00F16025">
        <w:rPr>
          <w:b/>
          <w:bCs/>
          <w:sz w:val="26"/>
          <w:szCs w:val="26"/>
        </w:rPr>
        <w:t>11</w:t>
      </w:r>
      <w:r w:rsidR="0031587B" w:rsidRPr="00F16025">
        <w:rPr>
          <w:b/>
          <w:bCs/>
          <w:sz w:val="26"/>
          <w:szCs w:val="26"/>
        </w:rPr>
        <w:t>:</w:t>
      </w:r>
      <w:r w:rsidR="00F16025" w:rsidRPr="00F16025">
        <w:rPr>
          <w:b/>
          <w:bCs/>
          <w:sz w:val="26"/>
          <w:szCs w:val="26"/>
        </w:rPr>
        <w:t>5</w:t>
      </w:r>
      <w:r w:rsidR="009214A2">
        <w:rPr>
          <w:b/>
          <w:bCs/>
          <w:sz w:val="26"/>
          <w:szCs w:val="26"/>
        </w:rPr>
        <w:t>0</w:t>
      </w:r>
      <w:r w:rsidR="00A85631" w:rsidRPr="00F16025">
        <w:rPr>
          <w:b/>
          <w:bCs/>
          <w:sz w:val="26"/>
          <w:szCs w:val="26"/>
        </w:rPr>
        <w:t xml:space="preserve"> horas del día inicialmente señalado, se dio por concluida esta reunión.</w:t>
      </w:r>
    </w:p>
    <w:p w:rsidR="00F16025" w:rsidRPr="00F16025" w:rsidRDefault="00F16025" w:rsidP="00F16025">
      <w:pPr>
        <w:spacing w:line="360" w:lineRule="auto"/>
        <w:ind w:right="1"/>
        <w:jc w:val="center"/>
        <w:rPr>
          <w:b/>
          <w:bCs/>
          <w:sz w:val="26"/>
          <w:szCs w:val="26"/>
        </w:rPr>
      </w:pPr>
    </w:p>
    <w:p w:rsidR="00F16025" w:rsidRPr="00F16025" w:rsidRDefault="00F16025" w:rsidP="00F16025">
      <w:pPr>
        <w:spacing w:line="360" w:lineRule="auto"/>
        <w:ind w:right="1"/>
        <w:jc w:val="center"/>
        <w:rPr>
          <w:b/>
          <w:bCs/>
          <w:sz w:val="26"/>
          <w:szCs w:val="26"/>
        </w:rPr>
      </w:pPr>
      <w:r w:rsidRPr="00F16025">
        <w:rPr>
          <w:b/>
          <w:bCs/>
          <w:sz w:val="26"/>
          <w:szCs w:val="26"/>
        </w:rPr>
        <w:t xml:space="preserve">SALTILLO, COAHUILA, A </w:t>
      </w:r>
      <w:r w:rsidR="007B1AD6">
        <w:rPr>
          <w:b/>
          <w:bCs/>
          <w:sz w:val="26"/>
          <w:szCs w:val="26"/>
        </w:rPr>
        <w:t>07</w:t>
      </w:r>
      <w:r w:rsidRPr="00F16025">
        <w:rPr>
          <w:b/>
          <w:bCs/>
          <w:sz w:val="26"/>
          <w:szCs w:val="26"/>
        </w:rPr>
        <w:t xml:space="preserve"> DE </w:t>
      </w:r>
      <w:r w:rsidR="007B1AD6">
        <w:rPr>
          <w:b/>
          <w:bCs/>
          <w:sz w:val="26"/>
          <w:szCs w:val="26"/>
        </w:rPr>
        <w:t>SEPTIEMBRE</w:t>
      </w:r>
      <w:r w:rsidRPr="00F16025">
        <w:rPr>
          <w:b/>
          <w:bCs/>
          <w:sz w:val="26"/>
          <w:szCs w:val="26"/>
        </w:rPr>
        <w:t xml:space="preserve"> DEL 2020.</w:t>
      </w:r>
    </w:p>
    <w:p w:rsidR="00F16025" w:rsidRPr="00F16025" w:rsidRDefault="00F16025" w:rsidP="00F16025">
      <w:pPr>
        <w:spacing w:line="360" w:lineRule="auto"/>
        <w:ind w:right="1"/>
        <w:jc w:val="center"/>
        <w:rPr>
          <w:b/>
          <w:bCs/>
          <w:sz w:val="26"/>
          <w:szCs w:val="26"/>
        </w:rPr>
      </w:pPr>
      <w:r w:rsidRPr="00F16025">
        <w:rPr>
          <w:b/>
          <w:bCs/>
          <w:sz w:val="26"/>
          <w:szCs w:val="26"/>
        </w:rPr>
        <w:t>POR EL COMITÉ DE TRANSPARENCIA</w:t>
      </w:r>
    </w:p>
    <w:p w:rsidR="00F16025" w:rsidRPr="00F16025" w:rsidRDefault="00F16025" w:rsidP="00F16025">
      <w:pPr>
        <w:spacing w:line="360" w:lineRule="auto"/>
        <w:ind w:right="1"/>
        <w:jc w:val="center"/>
        <w:rPr>
          <w:b/>
          <w:bCs/>
          <w:sz w:val="26"/>
          <w:szCs w:val="26"/>
        </w:rPr>
      </w:pPr>
      <w:r w:rsidRPr="00F16025">
        <w:rPr>
          <w:b/>
          <w:bCs/>
          <w:sz w:val="26"/>
          <w:szCs w:val="26"/>
        </w:rPr>
        <w:t>DE LA LXI LEGISLATURA DEL CONGRESO DEL ESTADO.</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noProof/>
          <w:sz w:val="26"/>
          <w:szCs w:val="26"/>
          <w:lang w:val="es-MX" w:eastAsia="es-MX"/>
        </w:rPr>
        <w:drawing>
          <wp:inline distT="0" distB="0" distL="0" distR="0" wp14:anchorId="3A39F991" wp14:editId="5D280DC9">
            <wp:extent cx="2686050" cy="884583"/>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10" cy="884998"/>
                    </a:xfrm>
                    <a:prstGeom prst="rect">
                      <a:avLst/>
                    </a:prstGeom>
                    <a:noFill/>
                    <a:ln>
                      <a:noFill/>
                    </a:ln>
                  </pic:spPr>
                </pic:pic>
              </a:graphicData>
            </a:graphic>
          </wp:inline>
        </w:drawing>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LIC. GERARDO BLANCO GUERRA.</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PRESIDENTE</w:t>
      </w:r>
    </w:p>
    <w:p w:rsidR="00F16025" w:rsidRPr="00F16025" w:rsidRDefault="00F16025" w:rsidP="00F16025">
      <w:pPr>
        <w:ind w:right="-518"/>
        <w:jc w:val="both"/>
        <w:rPr>
          <w:rFonts w:ascii="Candara" w:eastAsia="Calibri" w:hAnsi="Candara" w:cs="Arial"/>
          <w:b/>
          <w:sz w:val="26"/>
          <w:szCs w:val="26"/>
          <w:lang w:eastAsia="en-US"/>
        </w:rPr>
      </w:pPr>
      <w:r w:rsidRPr="00F16025">
        <w:rPr>
          <w:rFonts w:ascii="Candara" w:eastAsia="Calibri" w:hAnsi="Candara" w:cs="Arial"/>
          <w:b/>
          <w:noProof/>
          <w:sz w:val="26"/>
          <w:szCs w:val="26"/>
          <w:lang w:val="es-MX" w:eastAsia="es-MX"/>
        </w:rPr>
        <w:t xml:space="preserve">                                           </w:t>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noProof/>
          <w:sz w:val="26"/>
          <w:szCs w:val="26"/>
          <w:lang w:val="es-MX" w:eastAsia="es-MX"/>
        </w:rPr>
        <w:drawing>
          <wp:inline distT="0" distB="0" distL="0" distR="0" wp14:anchorId="64A5B740" wp14:editId="44740D48">
            <wp:extent cx="2076450" cy="655983"/>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945" cy="657403"/>
                    </a:xfrm>
                    <a:prstGeom prst="rect">
                      <a:avLst/>
                    </a:prstGeom>
                    <a:noFill/>
                    <a:ln>
                      <a:noFill/>
                    </a:ln>
                  </pic:spPr>
                </pic:pic>
              </a:graphicData>
            </a:graphic>
          </wp:inline>
        </w:drawing>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sz w:val="26"/>
          <w:szCs w:val="26"/>
          <w:lang w:eastAsia="en-US"/>
        </w:rPr>
        <w:t xml:space="preserve">LIC. MIGUEL ANGEL FLORES LUIS. </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VOCAL.</w:t>
      </w:r>
    </w:p>
    <w:p w:rsidR="007B1AD6" w:rsidRDefault="007B1AD6" w:rsidP="00F16025">
      <w:pPr>
        <w:spacing w:line="360" w:lineRule="auto"/>
        <w:jc w:val="center"/>
        <w:rPr>
          <w:rFonts w:ascii="Arial" w:eastAsia="Calibri" w:hAnsi="Arial" w:cs="Arial"/>
          <w:b/>
          <w:sz w:val="26"/>
          <w:szCs w:val="26"/>
          <w:lang w:val="es-MX" w:eastAsia="en-US"/>
        </w:rPr>
      </w:pPr>
      <w:r w:rsidRPr="007B1AD6">
        <w:rPr>
          <w:rFonts w:ascii="Arial" w:eastAsia="Calibri" w:hAnsi="Arial" w:cs="Arial"/>
          <w:b/>
          <w:noProof/>
          <w:sz w:val="22"/>
          <w:lang w:val="es-MX" w:eastAsia="es-MX"/>
        </w:rPr>
        <w:drawing>
          <wp:inline distT="0" distB="0" distL="0" distR="0" wp14:anchorId="21E07EF6" wp14:editId="3C73751D">
            <wp:extent cx="3150870" cy="894715"/>
            <wp:effectExtent l="0" t="0" r="0" b="0"/>
            <wp:docPr id="4" name="Imagen 4"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7B1AD6" w:rsidRDefault="007B1AD6" w:rsidP="00F16025">
      <w:pPr>
        <w:spacing w:line="360" w:lineRule="auto"/>
        <w:jc w:val="center"/>
        <w:rPr>
          <w:rFonts w:ascii="Arial" w:eastAsia="Calibri" w:hAnsi="Arial" w:cs="Arial"/>
          <w:b/>
          <w:sz w:val="26"/>
          <w:szCs w:val="26"/>
          <w:lang w:val="es-MX" w:eastAsia="en-US"/>
        </w:rPr>
      </w:pPr>
      <w:r>
        <w:rPr>
          <w:rFonts w:ascii="Arial" w:eastAsia="Calibri" w:hAnsi="Arial" w:cs="Arial"/>
          <w:b/>
          <w:sz w:val="26"/>
          <w:szCs w:val="26"/>
          <w:lang w:val="es-MX" w:eastAsia="en-US"/>
        </w:rPr>
        <w:t>LIC. ELSA FABIOLA SIFUENTES ORTIZ.</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SECRETARIO.</w:t>
      </w:r>
    </w:p>
    <w:p w:rsidR="00F16025" w:rsidRPr="00F16025" w:rsidRDefault="00F16025" w:rsidP="00F16025">
      <w:pPr>
        <w:keepNext/>
        <w:autoSpaceDE w:val="0"/>
        <w:autoSpaceDN w:val="0"/>
        <w:adjustRightInd w:val="0"/>
        <w:spacing w:line="360" w:lineRule="auto"/>
        <w:jc w:val="both"/>
        <w:outlineLvl w:val="1"/>
        <w:rPr>
          <w:rFonts w:ascii="Arial" w:hAnsi="Arial"/>
          <w:b/>
          <w:sz w:val="26"/>
          <w:szCs w:val="26"/>
          <w:lang w:val="es-MX"/>
        </w:rPr>
      </w:pPr>
    </w:p>
    <w:p w:rsidR="00F16025" w:rsidRPr="00F16025" w:rsidRDefault="00F16025" w:rsidP="00F16025">
      <w:pPr>
        <w:spacing w:after="200" w:line="276" w:lineRule="auto"/>
        <w:rPr>
          <w:rFonts w:ascii="Calibri" w:eastAsia="Calibri" w:hAnsi="Calibri"/>
          <w:sz w:val="22"/>
          <w:szCs w:val="22"/>
          <w:lang w:val="es-MX"/>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t>SALTILLO, COAHUILA A</w:t>
      </w:r>
      <w:r w:rsidR="001310CD">
        <w:rPr>
          <w:color w:val="auto"/>
          <w:sz w:val="22"/>
          <w:szCs w:val="22"/>
        </w:rPr>
        <w:t xml:space="preserve"> </w:t>
      </w:r>
      <w:r w:rsidR="007B1AD6">
        <w:rPr>
          <w:color w:val="auto"/>
          <w:sz w:val="22"/>
          <w:szCs w:val="22"/>
        </w:rPr>
        <w:t xml:space="preserve">07 </w:t>
      </w:r>
      <w:r w:rsidRPr="00611141">
        <w:rPr>
          <w:color w:val="auto"/>
          <w:sz w:val="22"/>
          <w:szCs w:val="22"/>
        </w:rPr>
        <w:t xml:space="preserve">DE </w:t>
      </w:r>
      <w:r w:rsidR="007B1AD6">
        <w:rPr>
          <w:color w:val="auto"/>
          <w:sz w:val="22"/>
          <w:szCs w:val="22"/>
        </w:rPr>
        <w:t>SEPTIEMBRE</w:t>
      </w:r>
      <w:r w:rsidR="00F16025">
        <w:rPr>
          <w:color w:val="auto"/>
          <w:sz w:val="22"/>
          <w:szCs w:val="22"/>
        </w:rPr>
        <w:t xml:space="preserve"> </w:t>
      </w:r>
      <w:r w:rsidRPr="00611141">
        <w:rPr>
          <w:color w:val="auto"/>
          <w:sz w:val="22"/>
          <w:szCs w:val="22"/>
        </w:rPr>
        <w:t xml:space="preserve">DE DOS MIL </w:t>
      </w:r>
      <w:r w:rsidR="00F16025">
        <w:rPr>
          <w:color w:val="auto"/>
          <w:sz w:val="22"/>
          <w:szCs w:val="22"/>
        </w:rPr>
        <w:t>VEINTE</w:t>
      </w:r>
      <w:r w:rsidRPr="00611141">
        <w:rPr>
          <w:color w:val="auto"/>
          <w:sz w:val="22"/>
          <w:szCs w:val="22"/>
        </w:rPr>
        <w:t xml:space="preserve"> - - </w:t>
      </w:r>
      <w:r w:rsidR="00E0241B">
        <w:rPr>
          <w:color w:val="auto"/>
          <w:sz w:val="22"/>
          <w:szCs w:val="22"/>
        </w:rPr>
        <w:t>----------------</w:t>
      </w:r>
      <w:r w:rsidRPr="00611141">
        <w:rPr>
          <w:color w:val="auto"/>
          <w:sz w:val="22"/>
          <w:szCs w:val="22"/>
        </w:rPr>
        <w:t xml:space="preserve">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w:t>
      </w:r>
      <w:r w:rsidR="007030DC">
        <w:rPr>
          <w:color w:val="auto"/>
          <w:sz w:val="22"/>
          <w:szCs w:val="22"/>
        </w:rPr>
        <w:t>s</w:t>
      </w:r>
      <w:r w:rsidRPr="00611141">
        <w:rPr>
          <w:color w:val="auto"/>
          <w:sz w:val="22"/>
          <w:szCs w:val="22"/>
        </w:rPr>
        <w:t xml:space="preserve"> solicitud con Número de folio</w:t>
      </w:r>
      <w:r w:rsidR="00E0241B">
        <w:rPr>
          <w:color w:val="auto"/>
          <w:sz w:val="22"/>
          <w:szCs w:val="22"/>
        </w:rPr>
        <w:t xml:space="preserve"> 00</w:t>
      </w:r>
      <w:r w:rsidR="007B1AD6">
        <w:rPr>
          <w:color w:val="auto"/>
          <w:sz w:val="22"/>
          <w:szCs w:val="22"/>
        </w:rPr>
        <w:t>677120</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r>
        <w:rPr>
          <w:rFonts w:ascii="Arial" w:hAnsi="Arial" w:cs="Arial"/>
        </w:rPr>
        <w:tab/>
      </w:r>
    </w:p>
    <w:p w:rsidR="003F5776" w:rsidRDefault="003F5776" w:rsidP="003F5776">
      <w:pPr>
        <w:spacing w:line="360" w:lineRule="auto"/>
        <w:jc w:val="both"/>
        <w:rPr>
          <w:rFonts w:ascii="Arial" w:hAnsi="Arial" w:cs="Arial"/>
        </w:rPr>
      </w:pPr>
      <w:r>
        <w:rPr>
          <w:rFonts w:ascii="Arial" w:hAnsi="Arial" w:cs="Arial"/>
          <w:b/>
        </w:rPr>
        <w:t>PRIMERO.-</w:t>
      </w:r>
      <w:r>
        <w:rPr>
          <w:rFonts w:ascii="Arial" w:hAnsi="Arial" w:cs="Arial"/>
        </w:rPr>
        <w:t xml:space="preserve"> Con fecha </w:t>
      </w:r>
      <w:r w:rsidR="007B1AD6">
        <w:rPr>
          <w:rFonts w:ascii="Arial" w:hAnsi="Arial" w:cs="Arial"/>
        </w:rPr>
        <w:t>26</w:t>
      </w:r>
      <w:r>
        <w:rPr>
          <w:rFonts w:ascii="Arial" w:hAnsi="Arial" w:cs="Arial"/>
        </w:rPr>
        <w:t xml:space="preserve"> de </w:t>
      </w:r>
      <w:r w:rsidR="007B1AD6">
        <w:rPr>
          <w:rFonts w:ascii="Arial" w:hAnsi="Arial" w:cs="Arial"/>
        </w:rPr>
        <w:t>agosto</w:t>
      </w:r>
      <w:r w:rsidR="00E0241B">
        <w:rPr>
          <w:rFonts w:ascii="Arial" w:hAnsi="Arial" w:cs="Arial"/>
        </w:rPr>
        <w:t xml:space="preserve"> d</w:t>
      </w:r>
      <w:r>
        <w:rPr>
          <w:rFonts w:ascii="Arial" w:hAnsi="Arial" w:cs="Arial"/>
        </w:rPr>
        <w:t>el 20</w:t>
      </w:r>
      <w:r w:rsidR="00E0241B">
        <w:rPr>
          <w:rFonts w:ascii="Arial" w:hAnsi="Arial" w:cs="Arial"/>
        </w:rPr>
        <w:t>20</w:t>
      </w:r>
      <w:r>
        <w:rPr>
          <w:rFonts w:ascii="Arial" w:hAnsi="Arial" w:cs="Arial"/>
        </w:rPr>
        <w:t xml:space="preserve">, a través de solicitud de acceso a la información con </w:t>
      </w:r>
      <w:r w:rsidRPr="003F5776">
        <w:rPr>
          <w:rFonts w:ascii="Arial" w:hAnsi="Arial" w:cs="Arial"/>
        </w:rPr>
        <w:t>folio</w:t>
      </w:r>
      <w:r w:rsidR="00E0241B">
        <w:rPr>
          <w:rFonts w:ascii="Arial" w:hAnsi="Arial" w:cs="Arial"/>
        </w:rPr>
        <w:t xml:space="preserve"> 00</w:t>
      </w:r>
      <w:r w:rsidR="007B1AD6">
        <w:rPr>
          <w:rFonts w:ascii="Arial" w:hAnsi="Arial" w:cs="Arial"/>
        </w:rPr>
        <w:t>677120</w:t>
      </w:r>
      <w:r w:rsidR="00E0241B">
        <w:rPr>
          <w:rFonts w:ascii="Arial" w:hAnsi="Arial" w:cs="Arial"/>
        </w:rPr>
        <w:t xml:space="preserve">, </w:t>
      </w:r>
      <w:r>
        <w:rPr>
          <w:rFonts w:ascii="Arial" w:hAnsi="Arial" w:cs="Arial"/>
        </w:rPr>
        <w:t>se requirió lo siguiente:</w:t>
      </w:r>
    </w:p>
    <w:p w:rsidR="003F5776" w:rsidRDefault="003F5776" w:rsidP="003F5776">
      <w:pPr>
        <w:autoSpaceDE w:val="0"/>
        <w:autoSpaceDN w:val="0"/>
        <w:adjustRightInd w:val="0"/>
        <w:ind w:left="567" w:right="-284"/>
        <w:jc w:val="both"/>
        <w:rPr>
          <w:rFonts w:ascii="Arial" w:eastAsia="Calibri" w:hAnsi="Arial" w:cs="Arial"/>
          <w:b/>
          <w:i/>
          <w:sz w:val="20"/>
          <w:szCs w:val="20"/>
          <w:lang w:val="es-MX" w:eastAsia="es-MX"/>
        </w:rPr>
      </w:pPr>
    </w:p>
    <w:p w:rsidR="00035308" w:rsidRPr="00035308" w:rsidRDefault="003F5776" w:rsidP="001B449C">
      <w:pPr>
        <w:autoSpaceDE w:val="0"/>
        <w:autoSpaceDN w:val="0"/>
        <w:adjustRightInd w:val="0"/>
        <w:ind w:left="567" w:right="-234"/>
        <w:jc w:val="both"/>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001B449C" w:rsidRPr="001B449C">
        <w:rPr>
          <w:rFonts w:ascii="Arial" w:eastAsia="Calibri" w:hAnsi="Arial" w:cs="Arial"/>
          <w:b/>
          <w:sz w:val="20"/>
          <w:szCs w:val="20"/>
          <w:lang w:val="es-MX" w:eastAsia="es-MX"/>
        </w:rPr>
        <w:t xml:space="preserve">Solicito la copia de la factura y los documentos que acrediten el monto y el egreso pagado por la compra de la pizarra que indica las votaciones en el Congreso del Estado de Coahuila” </w:t>
      </w:r>
      <w:r>
        <w:rPr>
          <w:rFonts w:ascii="Arial" w:hAnsi="Arial" w:cs="Arial"/>
          <w:b/>
          <w:i/>
          <w:sz w:val="20"/>
          <w:szCs w:val="20"/>
        </w:rPr>
        <w:t>S</w:t>
      </w:r>
      <w:proofErr w:type="spellStart"/>
      <w:r w:rsidR="00035308">
        <w:rPr>
          <w:rFonts w:ascii="Arial" w:eastAsia="Calibri" w:hAnsi="Arial" w:cs="Arial"/>
          <w:b/>
          <w:i/>
          <w:sz w:val="20"/>
          <w:szCs w:val="20"/>
          <w:lang w:val="es-MX" w:eastAsia="es-MX"/>
        </w:rPr>
        <w:t>ic</w:t>
      </w:r>
      <w:proofErr w:type="spellEnd"/>
      <w:r>
        <w:rPr>
          <w:rFonts w:ascii="Arial" w:eastAsia="Calibri" w:hAnsi="Arial" w:cs="Arial"/>
          <w:b/>
          <w:i/>
          <w:sz w:val="20"/>
          <w:szCs w:val="20"/>
          <w:lang w:val="es-MX" w:eastAsia="es-MX"/>
        </w:rPr>
        <w:t>.</w:t>
      </w:r>
    </w:p>
    <w:p w:rsidR="00035308" w:rsidRDefault="00035308" w:rsidP="00BA66CD">
      <w:pPr>
        <w:autoSpaceDE w:val="0"/>
        <w:autoSpaceDN w:val="0"/>
        <w:adjustRightInd w:val="0"/>
        <w:ind w:left="567" w:right="-284"/>
        <w:rPr>
          <w:rFonts w:ascii="Arial" w:eastAsia="Calibri" w:hAnsi="Arial" w:cs="Arial"/>
          <w:b/>
          <w:i/>
          <w:sz w:val="20"/>
          <w:szCs w:val="20"/>
          <w:lang w:val="es-MX" w:eastAsia="es-MX"/>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EC0A97">
        <w:rPr>
          <w:rFonts w:ascii="Arial" w:hAnsi="Arial" w:cs="Arial"/>
        </w:rPr>
        <w:t xml:space="preserve"> </w:t>
      </w:r>
      <w:r w:rsidR="001310CD">
        <w:rPr>
          <w:rFonts w:ascii="Arial" w:hAnsi="Arial" w:cs="Arial"/>
        </w:rPr>
        <w:t xml:space="preserve">solicitud de acceso a la información </w:t>
      </w:r>
      <w:r w:rsidR="00EC0A97">
        <w:rPr>
          <w:rFonts w:ascii="Arial" w:hAnsi="Arial" w:cs="Arial"/>
        </w:rPr>
        <w:t>la</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1B449C">
        <w:rPr>
          <w:rFonts w:ascii="Arial" w:hAnsi="Arial"/>
          <w:bCs/>
        </w:rPr>
        <w:t>04</w:t>
      </w:r>
      <w:r>
        <w:rPr>
          <w:rFonts w:ascii="Arial" w:hAnsi="Arial"/>
          <w:bCs/>
        </w:rPr>
        <w:t xml:space="preserve"> de </w:t>
      </w:r>
      <w:r w:rsidR="001B449C">
        <w:rPr>
          <w:rFonts w:ascii="Arial" w:hAnsi="Arial"/>
          <w:bCs/>
        </w:rPr>
        <w:t>septiembre</w:t>
      </w:r>
      <w:r w:rsidR="00035308">
        <w:rPr>
          <w:rFonts w:ascii="Arial" w:hAnsi="Arial"/>
          <w:bCs/>
        </w:rPr>
        <w:t xml:space="preserve"> </w:t>
      </w:r>
      <w:r>
        <w:rPr>
          <w:rFonts w:ascii="Arial" w:hAnsi="Arial"/>
          <w:bCs/>
        </w:rPr>
        <w:t>del 20</w:t>
      </w:r>
      <w:r w:rsidR="00E0241B">
        <w:rPr>
          <w:rFonts w:ascii="Arial" w:hAnsi="Arial"/>
          <w:bCs/>
        </w:rPr>
        <w:t>20</w:t>
      </w:r>
      <w:r>
        <w:rPr>
          <w:rFonts w:ascii="Arial" w:hAnsi="Arial"/>
          <w:bCs/>
        </w:rPr>
        <w:t>, remitió su</w:t>
      </w:r>
      <w:r w:rsidR="00E0241B">
        <w:rPr>
          <w:rFonts w:ascii="Arial" w:hAnsi="Arial"/>
          <w:bCs/>
        </w:rPr>
        <w:t xml:space="preserve"> res</w:t>
      </w:r>
      <w:r>
        <w:rPr>
          <w:rFonts w:ascii="Arial" w:hAnsi="Arial"/>
          <w:bCs/>
        </w:rPr>
        <w:t>puesta que en su parte sustantiva</w:t>
      </w:r>
      <w:r w:rsidR="00A046B8">
        <w:rPr>
          <w:rFonts w:ascii="Arial" w:hAnsi="Arial"/>
          <w:bCs/>
        </w:rPr>
        <w:t xml:space="preserve"> </w:t>
      </w:r>
      <w:r w:rsidR="003A2361">
        <w:rPr>
          <w:rFonts w:ascii="Arial" w:hAnsi="Arial"/>
          <w:bCs/>
        </w:rPr>
        <w:t xml:space="preserve">de </w:t>
      </w:r>
      <w:r w:rsidR="00A046B8">
        <w:rPr>
          <w:rFonts w:ascii="Arial" w:hAnsi="Arial"/>
          <w:bCs/>
        </w:rPr>
        <w:t>la declaración de reserva,</w:t>
      </w:r>
      <w:r>
        <w:rPr>
          <w:rFonts w:ascii="Arial" w:hAnsi="Arial"/>
          <w:bCs/>
        </w:rPr>
        <w:t xml:space="preserve"> señalo lo siguiente:</w:t>
      </w:r>
    </w:p>
    <w:p w:rsidR="003A2361" w:rsidRDefault="003A2361" w:rsidP="003A2361">
      <w:pPr>
        <w:autoSpaceDE w:val="0"/>
        <w:autoSpaceDN w:val="0"/>
        <w:adjustRightInd w:val="0"/>
        <w:ind w:left="567" w:right="-284"/>
        <w:jc w:val="both"/>
        <w:rPr>
          <w:rFonts w:ascii="Arial" w:eastAsia="Calibri" w:hAnsi="Arial" w:cs="Arial"/>
          <w:b/>
          <w:i/>
          <w:sz w:val="20"/>
          <w:szCs w:val="20"/>
          <w:lang w:val="es-MX" w:eastAsia="es-MX"/>
        </w:rPr>
      </w:pPr>
    </w:p>
    <w:p w:rsidR="00E0241B" w:rsidRPr="00E0241B" w:rsidRDefault="003A2361" w:rsidP="00E0241B">
      <w:pPr>
        <w:autoSpaceDE w:val="0"/>
        <w:autoSpaceDN w:val="0"/>
        <w:adjustRightInd w:val="0"/>
        <w:ind w:left="567" w:right="-284"/>
        <w:jc w:val="both"/>
        <w:rPr>
          <w:rFonts w:ascii="Arial" w:eastAsia="Calibri" w:hAnsi="Arial" w:cs="Arial"/>
          <w:sz w:val="20"/>
          <w:szCs w:val="20"/>
          <w:lang w:val="es-MX" w:eastAsia="en-US"/>
        </w:rPr>
      </w:pPr>
      <w:r w:rsidRPr="00E0241B">
        <w:rPr>
          <w:rFonts w:ascii="Arial" w:eastAsia="Calibri" w:hAnsi="Arial" w:cs="Arial"/>
          <w:b/>
          <w:i/>
          <w:sz w:val="20"/>
          <w:szCs w:val="20"/>
          <w:lang w:val="es-MX" w:eastAsia="es-MX"/>
        </w:rPr>
        <w:t>“</w:t>
      </w:r>
      <w:r w:rsidR="00E0241B" w:rsidRPr="00E0241B">
        <w:rPr>
          <w:rFonts w:ascii="Arial" w:eastAsia="Calibri" w:hAnsi="Arial" w:cs="Arial"/>
          <w:sz w:val="20"/>
          <w:szCs w:val="20"/>
          <w:lang w:val="es-MX" w:eastAsia="en-US"/>
        </w:rPr>
        <w:t>1.- M</w:t>
      </w:r>
      <w:proofErr w:type="spellStart"/>
      <w:r w:rsidR="00E0241B" w:rsidRPr="00E0241B">
        <w:rPr>
          <w:rFonts w:ascii="Arial" w:eastAsia="Calibri" w:hAnsi="Arial" w:cs="Arial"/>
          <w:sz w:val="20"/>
          <w:szCs w:val="20"/>
          <w:lang w:eastAsia="en-US"/>
        </w:rPr>
        <w:t>e</w:t>
      </w:r>
      <w:proofErr w:type="spellEnd"/>
      <w:r w:rsidR="00E0241B" w:rsidRPr="00E0241B">
        <w:rPr>
          <w:rFonts w:ascii="Arial" w:eastAsia="Calibri" w:hAnsi="Arial" w:cs="Arial"/>
          <w:sz w:val="20"/>
          <w:szCs w:val="20"/>
          <w:lang w:eastAsia="en-US"/>
        </w:rPr>
        <w:t xml:space="preserve"> permito manifestar que la información solicitada, </w:t>
      </w:r>
      <w:r w:rsidR="00E0241B" w:rsidRPr="00E0241B">
        <w:rPr>
          <w:rFonts w:ascii="Arial" w:hAnsi="Arial" w:cs="Arial"/>
          <w:color w:val="000000"/>
          <w:sz w:val="20"/>
          <w:szCs w:val="20"/>
          <w:lang w:val="es-MX" w:eastAsia="es-MX"/>
        </w:rPr>
        <w:t xml:space="preserve">se </w:t>
      </w:r>
      <w:r w:rsidR="00E0241B" w:rsidRPr="00E0241B">
        <w:rPr>
          <w:rFonts w:ascii="Arial" w:hAnsi="Arial" w:cs="Arial"/>
          <w:color w:val="000000"/>
          <w:sz w:val="20"/>
          <w:szCs w:val="20"/>
          <w:lang w:eastAsia="es-MX"/>
        </w:rPr>
        <w:t>h</w:t>
      </w:r>
      <w:r w:rsidR="00E0241B" w:rsidRPr="00E0241B">
        <w:rPr>
          <w:rFonts w:ascii="Arial" w:eastAsia="Calibri" w:hAnsi="Arial" w:cs="Arial"/>
          <w:sz w:val="20"/>
          <w:szCs w:val="20"/>
          <w:lang w:eastAsia="en-US"/>
        </w:rPr>
        <w:t xml:space="preserve">ace la aclaración que se encuentran contenida en la </w:t>
      </w:r>
      <w:r w:rsidR="00E0241B" w:rsidRPr="00E0241B">
        <w:rPr>
          <w:rFonts w:ascii="Arial" w:eastAsia="Calibri" w:hAnsi="Arial" w:cs="Arial"/>
          <w:b/>
          <w:i/>
          <w:sz w:val="20"/>
          <w:szCs w:val="20"/>
          <w:u w:val="single"/>
          <w:lang w:eastAsia="en-US"/>
        </w:rPr>
        <w:t>Contabilidad de este Congreso</w:t>
      </w:r>
      <w:r w:rsidR="00E0241B" w:rsidRPr="00E0241B">
        <w:rPr>
          <w:rFonts w:ascii="Arial" w:eastAsia="Calibri" w:hAnsi="Arial" w:cs="Arial"/>
          <w:sz w:val="20"/>
          <w:szCs w:val="20"/>
          <w:lang w:eastAsia="en-US"/>
        </w:rPr>
        <w:t xml:space="preserve"> en los documentos de la misma,  y esta se encuentra en proceso de fiscalización y revisión por la Auditoria Superior del Estado de Coahuila de Zaragoza de la Cuenta Pública 2019,  conforme lo </w:t>
      </w:r>
      <w:r w:rsidR="00E0241B" w:rsidRPr="00E0241B">
        <w:rPr>
          <w:rFonts w:ascii="Arial" w:eastAsia="Calibri" w:hAnsi="Arial" w:cs="Arial"/>
          <w:sz w:val="20"/>
          <w:szCs w:val="20"/>
          <w:lang w:val="es-MX" w:eastAsia="en-US"/>
        </w:rPr>
        <w:t>establecido en la Ley de Rendición de Cuentas y Fiscalización Superior del Estado de Coahuila de Zaragoza en los numerales 10 y 12, y la información estará disponibles una vez que se haya dado cumplimiento a los artículos mencionados anteriormente, y una vez entregada la información y su proceso de revisión y fiscalización por el Órgano técnico correspondiente Auditoria Superior del Estado de Coahuila (ASEC).</w:t>
      </w:r>
    </w:p>
    <w:p w:rsidR="00E0241B" w:rsidRPr="00E0241B" w:rsidRDefault="00E0241B" w:rsidP="00E0241B">
      <w:pPr>
        <w:ind w:left="567" w:right="-376"/>
        <w:jc w:val="both"/>
        <w:rPr>
          <w:rFonts w:ascii="Arial" w:eastAsia="Calibri" w:hAnsi="Arial" w:cs="Arial"/>
          <w:sz w:val="20"/>
          <w:szCs w:val="20"/>
          <w:lang w:val="es-MX" w:eastAsia="en-US"/>
        </w:rPr>
      </w:pPr>
    </w:p>
    <w:p w:rsidR="00E0241B" w:rsidRPr="00E0241B" w:rsidRDefault="00E0241B" w:rsidP="00E0241B">
      <w:pPr>
        <w:ind w:left="567" w:right="616"/>
        <w:jc w:val="both"/>
        <w:rPr>
          <w:rFonts w:ascii="Arial Narrow" w:eastAsia="Calibri" w:hAnsi="Arial Narrow" w:cs="Arial"/>
          <w:b/>
          <w:i/>
          <w:color w:val="000000"/>
          <w:sz w:val="20"/>
          <w:szCs w:val="20"/>
          <w:lang w:val="es-MX" w:eastAsia="en-US"/>
        </w:rPr>
      </w:pPr>
      <w:r w:rsidRPr="00E0241B">
        <w:rPr>
          <w:rFonts w:ascii="Arial Narrow" w:eastAsia="Calibri" w:hAnsi="Arial Narrow" w:cs="Arial"/>
          <w:b/>
          <w:i/>
          <w:color w:val="000000"/>
          <w:sz w:val="20"/>
          <w:szCs w:val="20"/>
          <w:lang w:val="es-MX" w:eastAsia="en-US"/>
        </w:rPr>
        <w:t xml:space="preserve">Artículo 10.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rsidR="00E0241B" w:rsidRPr="00E0241B" w:rsidRDefault="00E0241B" w:rsidP="00E0241B">
      <w:pPr>
        <w:ind w:left="567" w:right="616"/>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rsidR="00E0241B" w:rsidRPr="00E0241B" w:rsidRDefault="00E0241B" w:rsidP="00E0241B">
      <w:pPr>
        <w:ind w:left="567" w:right="616"/>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 </w:t>
      </w:r>
    </w:p>
    <w:p w:rsidR="00E0241B" w:rsidRPr="00E0241B" w:rsidRDefault="00E0241B" w:rsidP="00E0241B">
      <w:pPr>
        <w:ind w:left="567" w:right="616"/>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Los periodos trimestrales son los siguientes: </w:t>
      </w:r>
    </w:p>
    <w:p w:rsidR="00E0241B" w:rsidRPr="00E0241B" w:rsidRDefault="00E0241B" w:rsidP="00E0241B">
      <w:pPr>
        <w:ind w:left="567" w:right="616"/>
        <w:rPr>
          <w:rFonts w:ascii="Arial Narrow" w:eastAsia="Calibri" w:hAnsi="Arial Narrow" w:cs="Arial"/>
          <w:i/>
          <w:color w:val="000000"/>
          <w:sz w:val="20"/>
          <w:szCs w:val="20"/>
          <w:lang w:val="es-MX" w:eastAsia="en-US"/>
        </w:rPr>
      </w:pPr>
    </w:p>
    <w:p w:rsidR="00E0241B" w:rsidRPr="00E0241B"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Enero a marzo;  </w:t>
      </w:r>
    </w:p>
    <w:p w:rsidR="00E0241B" w:rsidRPr="00E0241B" w:rsidRDefault="00E0241B" w:rsidP="00E0241B">
      <w:pPr>
        <w:tabs>
          <w:tab w:val="left" w:pos="851"/>
        </w:tabs>
        <w:ind w:left="567" w:right="616"/>
        <w:rPr>
          <w:rFonts w:ascii="Arial Narrow" w:eastAsia="Calibri" w:hAnsi="Arial Narrow" w:cs="Arial"/>
          <w:i/>
          <w:color w:val="000000"/>
          <w:sz w:val="20"/>
          <w:szCs w:val="20"/>
          <w:lang w:val="es-MX" w:eastAsia="en-US"/>
        </w:rPr>
      </w:pPr>
    </w:p>
    <w:p w:rsidR="00E0241B" w:rsidRPr="00E0241B"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Abril a junio;  </w:t>
      </w:r>
    </w:p>
    <w:p w:rsidR="00E0241B" w:rsidRPr="00E0241B" w:rsidRDefault="00E0241B" w:rsidP="00E0241B">
      <w:pPr>
        <w:tabs>
          <w:tab w:val="left" w:pos="851"/>
        </w:tabs>
        <w:ind w:left="567" w:right="616"/>
        <w:rPr>
          <w:rFonts w:ascii="Arial Narrow" w:eastAsia="Calibri" w:hAnsi="Arial Narrow" w:cs="Arial"/>
          <w:i/>
          <w:color w:val="000000"/>
          <w:sz w:val="20"/>
          <w:szCs w:val="20"/>
          <w:lang w:val="es-MX" w:eastAsia="en-US"/>
        </w:rPr>
      </w:pPr>
    </w:p>
    <w:p w:rsidR="00E0241B" w:rsidRPr="00E0241B"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Julio a septiembre;  </w:t>
      </w:r>
    </w:p>
    <w:p w:rsidR="00E0241B" w:rsidRPr="00E0241B" w:rsidRDefault="00E0241B" w:rsidP="00E0241B">
      <w:pPr>
        <w:tabs>
          <w:tab w:val="left" w:pos="851"/>
        </w:tabs>
        <w:ind w:left="567" w:right="616"/>
        <w:rPr>
          <w:rFonts w:ascii="Arial Narrow" w:eastAsia="Calibri" w:hAnsi="Arial Narrow" w:cs="Arial"/>
          <w:i/>
          <w:color w:val="000000"/>
          <w:sz w:val="20"/>
          <w:szCs w:val="20"/>
          <w:lang w:val="es-MX" w:eastAsia="en-US"/>
        </w:rPr>
      </w:pPr>
    </w:p>
    <w:p w:rsidR="00E0241B" w:rsidRPr="00E0241B"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Octubre a diciembre.</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La Comisión deberá entregar a la Auditoría Superior las cuentas públicas y los informes de avance de gestión financiera en un plazo máximo de cinco días hábiles posteriores a su recepción por el Congreso.</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b/>
          <w:i/>
          <w:color w:val="000000"/>
          <w:sz w:val="20"/>
          <w:szCs w:val="20"/>
          <w:lang w:val="es-MX" w:eastAsia="en-US"/>
        </w:rPr>
      </w:pPr>
      <w:r w:rsidRPr="00E0241B">
        <w:rPr>
          <w:rFonts w:ascii="Arial Narrow" w:eastAsia="Calibri" w:hAnsi="Arial Narrow" w:cs="Arial"/>
          <w:b/>
          <w:i/>
          <w:color w:val="000000"/>
          <w:sz w:val="20"/>
          <w:szCs w:val="20"/>
          <w:lang w:val="es-MX" w:eastAsia="en-US"/>
        </w:rPr>
        <w:t xml:space="preserve">Artículo 12.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E0241B" w:rsidRPr="00E0241B" w:rsidRDefault="00E0241B" w:rsidP="00E0241B">
      <w:pPr>
        <w:spacing w:after="200" w:line="276" w:lineRule="auto"/>
        <w:ind w:left="567"/>
        <w:jc w:val="both"/>
        <w:rPr>
          <w:rFonts w:ascii="Candara" w:eastAsia="Calibri" w:hAnsi="Candara"/>
          <w:sz w:val="20"/>
          <w:szCs w:val="20"/>
          <w:lang w:eastAsia="en-US"/>
        </w:rPr>
      </w:pPr>
    </w:p>
    <w:p w:rsidR="00E0241B" w:rsidRPr="00E0241B" w:rsidRDefault="00E0241B" w:rsidP="00E0241B">
      <w:pPr>
        <w:spacing w:after="200" w:line="276" w:lineRule="auto"/>
        <w:ind w:left="567" w:right="-284"/>
        <w:jc w:val="both"/>
        <w:rPr>
          <w:rFonts w:ascii="Arial" w:eastAsia="Calibri" w:hAnsi="Arial" w:cs="Arial"/>
          <w:color w:val="000000"/>
          <w:sz w:val="20"/>
          <w:szCs w:val="20"/>
          <w:lang w:val="es-MX" w:eastAsia="en-US"/>
        </w:rPr>
      </w:pPr>
      <w:r w:rsidRPr="00E0241B">
        <w:rPr>
          <w:rFonts w:ascii="Arial" w:eastAsia="Calibri" w:hAnsi="Arial" w:cs="Arial"/>
          <w:sz w:val="20"/>
          <w:szCs w:val="20"/>
          <w:lang w:eastAsia="en-US"/>
        </w:rPr>
        <w:t xml:space="preserve">Por lo que visto lo anterior se hace del conocimiento que este Congreso, </w:t>
      </w:r>
      <w:r w:rsidRPr="00E0241B">
        <w:rPr>
          <w:rFonts w:ascii="Arial" w:eastAsia="Calibri" w:hAnsi="Arial" w:cs="Arial"/>
          <w:iCs/>
          <w:sz w:val="20"/>
          <w:szCs w:val="20"/>
          <w:lang w:val="es-MX" w:eastAsia="en-US"/>
        </w:rPr>
        <w:t>tiene bajo su resguardo la información relativa a los documentos señalados (factura y documentos que señala el solicitante) misma que forma parte de la documentación necesaria para el proceso de Fiscalización 2019, correspondiente al Avance de Gestión Financiera del Primero, Segundo, Tercer</w:t>
      </w:r>
      <w:r w:rsidR="004F2380">
        <w:rPr>
          <w:rFonts w:ascii="Arial" w:eastAsia="Calibri" w:hAnsi="Arial" w:cs="Arial"/>
          <w:iCs/>
          <w:sz w:val="20"/>
          <w:szCs w:val="20"/>
          <w:lang w:val="es-MX" w:eastAsia="en-US"/>
        </w:rPr>
        <w:t>,</w:t>
      </w:r>
      <w:r w:rsidRPr="00E0241B">
        <w:rPr>
          <w:rFonts w:ascii="Arial" w:eastAsia="Calibri" w:hAnsi="Arial" w:cs="Arial"/>
          <w:iCs/>
          <w:sz w:val="20"/>
          <w:szCs w:val="20"/>
          <w:lang w:val="es-MX" w:eastAsia="en-US"/>
        </w:rPr>
        <w:t xml:space="preserve"> Cuarto Trimestre 2019</w:t>
      </w:r>
      <w:r w:rsidR="004F2380">
        <w:rPr>
          <w:rFonts w:ascii="Arial" w:eastAsia="Calibri" w:hAnsi="Arial" w:cs="Arial"/>
          <w:iCs/>
          <w:sz w:val="20"/>
          <w:szCs w:val="20"/>
          <w:lang w:val="es-MX" w:eastAsia="en-US"/>
        </w:rPr>
        <w:t xml:space="preserve"> y Cuenta Pública Anual 2019</w:t>
      </w:r>
      <w:r w:rsidRPr="00E0241B">
        <w:rPr>
          <w:rFonts w:ascii="Arial" w:eastAsia="Calibri" w:hAnsi="Arial" w:cs="Arial"/>
          <w:iCs/>
          <w:sz w:val="20"/>
          <w:szCs w:val="20"/>
          <w:lang w:val="es-MX" w:eastAsia="en-US"/>
        </w:rPr>
        <w:t xml:space="preserve">. </w:t>
      </w:r>
    </w:p>
    <w:p w:rsidR="00E0241B" w:rsidRPr="00E0241B" w:rsidRDefault="00E0241B" w:rsidP="00E0241B">
      <w:pPr>
        <w:autoSpaceDE w:val="0"/>
        <w:autoSpaceDN w:val="0"/>
        <w:adjustRightInd w:val="0"/>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b/>
          <w:iCs/>
          <w:sz w:val="20"/>
          <w:szCs w:val="20"/>
          <w:lang w:val="es-MX" w:eastAsia="en-US"/>
        </w:rPr>
        <w:t>A).-</w:t>
      </w:r>
      <w:r w:rsidRPr="00E0241B">
        <w:rPr>
          <w:rFonts w:ascii="Arial" w:eastAsia="Calibri" w:hAnsi="Arial" w:cs="Arial"/>
          <w:iCs/>
          <w:sz w:val="20"/>
          <w:szCs w:val="20"/>
          <w:lang w:val="es-MX" w:eastAsia="en-US"/>
        </w:rPr>
        <w:t xml:space="preserve">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Superior del Estado de Coahuila de Zaragoza. Actualmente este proceso administrativo y de fiscalización todavía no concluye (e incluso se precisa que acaba de iniciar con forme lo marca la normativa) al encontrarse en revisión y fiscalización todos y cada uno de los documentos de la cuenta pública del ejercicio fiscal 2019 (primero, segundo, tercero</w:t>
      </w:r>
      <w:r w:rsidR="004F2380">
        <w:rPr>
          <w:rFonts w:ascii="Arial" w:eastAsia="Calibri" w:hAnsi="Arial" w:cs="Arial"/>
          <w:iCs/>
          <w:sz w:val="20"/>
          <w:szCs w:val="20"/>
          <w:lang w:val="es-MX" w:eastAsia="en-US"/>
        </w:rPr>
        <w:t xml:space="preserve">, </w:t>
      </w:r>
      <w:r w:rsidRPr="00E0241B">
        <w:rPr>
          <w:rFonts w:ascii="Arial" w:eastAsia="Calibri" w:hAnsi="Arial" w:cs="Arial"/>
          <w:iCs/>
          <w:sz w:val="20"/>
          <w:szCs w:val="20"/>
          <w:lang w:val="es-MX" w:eastAsia="en-US"/>
        </w:rPr>
        <w:t>cuarto trimestre</w:t>
      </w:r>
      <w:r w:rsidR="004F2380">
        <w:rPr>
          <w:rFonts w:ascii="Arial" w:eastAsia="Calibri" w:hAnsi="Arial" w:cs="Arial"/>
          <w:iCs/>
          <w:sz w:val="20"/>
          <w:szCs w:val="20"/>
          <w:lang w:val="es-MX" w:eastAsia="en-US"/>
        </w:rPr>
        <w:t xml:space="preserve"> y Cuenta Pública Anual 2019</w:t>
      </w:r>
      <w:r w:rsidRPr="00E0241B">
        <w:rPr>
          <w:rFonts w:ascii="Arial" w:eastAsia="Calibri" w:hAnsi="Arial" w:cs="Arial"/>
          <w:iCs/>
          <w:sz w:val="20"/>
          <w:szCs w:val="20"/>
          <w:lang w:val="es-MX" w:eastAsia="en-US"/>
        </w:rPr>
        <w:t>), documento final por parte de las autoridades superiores de este Congreso Coahuila y falta la firma de la partes que en ella interviene y del órgano de fiscalización estatal.</w:t>
      </w:r>
    </w:p>
    <w:p w:rsidR="00E0241B" w:rsidRPr="00E0241B" w:rsidRDefault="00E0241B" w:rsidP="00E0241B">
      <w:pPr>
        <w:autoSpaceDE w:val="0"/>
        <w:autoSpaceDN w:val="0"/>
        <w:adjustRightInd w:val="0"/>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b/>
          <w:iCs/>
          <w:sz w:val="20"/>
          <w:szCs w:val="20"/>
          <w:lang w:val="es-MX" w:eastAsia="en-US"/>
        </w:rPr>
        <w:t>B).-</w:t>
      </w:r>
      <w:r w:rsidRPr="00E0241B">
        <w:rPr>
          <w:rFonts w:ascii="Arial" w:eastAsia="Calibri" w:hAnsi="Arial" w:cs="Arial"/>
          <w:iCs/>
          <w:sz w:val="20"/>
          <w:szCs w:val="20"/>
          <w:lang w:val="es-MX" w:eastAsia="en-US"/>
        </w:rPr>
        <w:t xml:space="preserve"> Con base a lo anterior, se solicita al comité de Acceso a la Información de este Congreso</w:t>
      </w:r>
      <w:r w:rsidRPr="00E0241B">
        <w:rPr>
          <w:rFonts w:ascii="Arial" w:eastAsia="Calibri" w:hAnsi="Arial" w:cs="Arial"/>
          <w:b/>
          <w:i/>
          <w:iCs/>
          <w:sz w:val="20"/>
          <w:szCs w:val="20"/>
          <w:u w:val="single"/>
          <w:lang w:val="es-MX" w:eastAsia="en-US"/>
        </w:rPr>
        <w:t>, se reserve la información solicitada</w:t>
      </w:r>
      <w:r w:rsidRPr="00E0241B">
        <w:rPr>
          <w:rFonts w:ascii="Arial" w:eastAsia="Calibri" w:hAnsi="Arial" w:cs="Arial"/>
          <w:iCs/>
          <w:sz w:val="20"/>
          <w:szCs w:val="20"/>
          <w:lang w:val="es-MX" w:eastAsia="en-US"/>
        </w:rPr>
        <w:t xml:space="preserve">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E0241B" w:rsidRPr="00E0241B" w:rsidRDefault="00E0241B" w:rsidP="00E0241B">
      <w:pPr>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iCs/>
          <w:sz w:val="20"/>
          <w:szCs w:val="20"/>
          <w:lang w:val="es-MX" w:eastAsia="en-U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2019 y primero, segundo</w:t>
      </w:r>
      <w:r w:rsidR="004F2380">
        <w:rPr>
          <w:rFonts w:ascii="Arial" w:eastAsia="Calibri" w:hAnsi="Arial" w:cs="Arial"/>
          <w:iCs/>
          <w:sz w:val="20"/>
          <w:szCs w:val="20"/>
          <w:lang w:val="es-MX" w:eastAsia="en-US"/>
        </w:rPr>
        <w:t>,</w:t>
      </w:r>
      <w:r w:rsidRPr="00E0241B">
        <w:rPr>
          <w:rFonts w:ascii="Arial" w:eastAsia="Calibri" w:hAnsi="Arial" w:cs="Arial"/>
          <w:iCs/>
          <w:sz w:val="20"/>
          <w:szCs w:val="20"/>
          <w:lang w:val="es-MX" w:eastAsia="en-US"/>
        </w:rPr>
        <w:t xml:space="preserve"> tercero</w:t>
      </w:r>
      <w:r w:rsidR="004F2380">
        <w:rPr>
          <w:rFonts w:ascii="Arial" w:eastAsia="Calibri" w:hAnsi="Arial" w:cs="Arial"/>
          <w:iCs/>
          <w:sz w:val="20"/>
          <w:szCs w:val="20"/>
          <w:lang w:val="es-MX" w:eastAsia="en-US"/>
        </w:rPr>
        <w:t xml:space="preserve"> y cuarto trimestre de</w:t>
      </w:r>
      <w:r w:rsidRPr="00E0241B">
        <w:rPr>
          <w:rFonts w:ascii="Arial" w:eastAsia="Calibri" w:hAnsi="Arial" w:cs="Arial"/>
          <w:iCs/>
          <w:sz w:val="20"/>
          <w:szCs w:val="20"/>
          <w:lang w:val="es-MX" w:eastAsia="en-US"/>
        </w:rPr>
        <w:t xml:space="preserve"> Avance de Gestión Financiera, los documento se pondrán a su disposición en los medios oficiales. </w:t>
      </w:r>
    </w:p>
    <w:p w:rsidR="00E0241B" w:rsidRDefault="00E0241B" w:rsidP="00E0241B">
      <w:pPr>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iCs/>
          <w:sz w:val="20"/>
          <w:szCs w:val="20"/>
          <w:lang w:val="es-MX" w:eastAsia="en-US"/>
        </w:rPr>
        <w:t>Lo anterior con base en lo establecido en el artículo 60 de la Ley de Acceso</w:t>
      </w:r>
      <w:r w:rsidRPr="00E0241B">
        <w:rPr>
          <w:rFonts w:ascii="Arial" w:hAnsi="Arial" w:cs="Arial"/>
          <w:sz w:val="20"/>
          <w:szCs w:val="20"/>
          <w:lang w:val="es-MX"/>
        </w:rPr>
        <w:t xml:space="preserve"> </w:t>
      </w:r>
      <w:r w:rsidRPr="00E0241B">
        <w:rPr>
          <w:rFonts w:ascii="Arial" w:eastAsia="Calibri" w:hAnsi="Arial" w:cs="Arial"/>
          <w:iCs/>
          <w:sz w:val="20"/>
          <w:szCs w:val="20"/>
          <w:lang w:val="es-MX" w:eastAsia="en-US"/>
        </w:rPr>
        <w:t>a la Información Pública Para el Estado de Coahuila de Zaragoza, cuyo texto de ley señala: …</w:t>
      </w:r>
    </w:p>
    <w:p w:rsidR="00E0241B" w:rsidRPr="00E0241B" w:rsidRDefault="00E0241B" w:rsidP="00E0241B">
      <w:pPr>
        <w:spacing w:after="200" w:line="276" w:lineRule="auto"/>
        <w:ind w:left="567" w:right="-234"/>
        <w:jc w:val="both"/>
        <w:rPr>
          <w:rFonts w:ascii="Arial" w:eastAsia="Calibri" w:hAnsi="Arial" w:cs="Arial"/>
          <w:iCs/>
          <w:lang w:val="es-MX" w:eastAsia="en-US"/>
        </w:rPr>
      </w:pPr>
      <w:r>
        <w:rPr>
          <w:rFonts w:ascii="Arial" w:eastAsia="Calibri" w:hAnsi="Arial" w:cs="Arial"/>
          <w:iCs/>
          <w:lang w:val="es-MX" w:eastAsia="en-US"/>
        </w:rPr>
        <w:t>…”Sic.</w:t>
      </w:r>
    </w:p>
    <w:p w:rsidR="00E0241B" w:rsidRDefault="00E0241B" w:rsidP="00E0241B">
      <w:pPr>
        <w:autoSpaceDE w:val="0"/>
        <w:autoSpaceDN w:val="0"/>
        <w:adjustRightInd w:val="0"/>
        <w:ind w:left="567" w:right="-284"/>
        <w:jc w:val="both"/>
        <w:rPr>
          <w:rFonts w:ascii="Arial" w:eastAsia="Calibri" w:hAnsi="Arial" w:cs="Arial"/>
          <w:b/>
          <w:i/>
          <w:sz w:val="20"/>
          <w:szCs w:val="20"/>
          <w:lang w:val="es-MX" w:eastAsia="es-MX"/>
        </w:rPr>
      </w:pPr>
    </w:p>
    <w:p w:rsidR="001A2DC3" w:rsidRPr="001A2DC3" w:rsidRDefault="00611141" w:rsidP="008D538D">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w:t>
      </w:r>
      <w:r w:rsidR="004F2380">
        <w:rPr>
          <w:rFonts w:ascii="Arial" w:hAnsi="Arial" w:cs="Arial"/>
        </w:rPr>
        <w:t>la información</w:t>
      </w:r>
      <w:r w:rsidR="00026D81">
        <w:rPr>
          <w:rFonts w:ascii="Arial" w:hAnsi="Arial" w:cs="Arial"/>
        </w:rPr>
        <w:t xml:space="preserve">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8D538D">
        <w:rPr>
          <w:rFonts w:ascii="Arial" w:eastAsia="Calibri" w:hAnsi="Arial" w:cs="Arial"/>
          <w:u w:val="single"/>
          <w:lang w:eastAsia="en-US"/>
        </w:rPr>
        <w:t xml:space="preserve">en la </w:t>
      </w:r>
      <w:r w:rsidR="008D538D" w:rsidRPr="008D538D">
        <w:rPr>
          <w:rFonts w:ascii="Arial" w:eastAsia="Calibri" w:hAnsi="Arial" w:cs="Arial"/>
          <w:u w:val="single"/>
          <w:lang w:eastAsia="en-US"/>
        </w:rPr>
        <w:t xml:space="preserve">Solicitud </w:t>
      </w:r>
      <w:r w:rsidR="00E0241B">
        <w:rPr>
          <w:rFonts w:ascii="Arial" w:eastAsia="Calibri" w:hAnsi="Arial" w:cs="Arial"/>
          <w:u w:val="single"/>
          <w:lang w:eastAsia="en-US"/>
        </w:rPr>
        <w:t>00</w:t>
      </w:r>
      <w:r w:rsidR="001B449C">
        <w:rPr>
          <w:rFonts w:ascii="Arial" w:eastAsia="Calibri" w:hAnsi="Arial" w:cs="Arial"/>
          <w:u w:val="single"/>
          <w:lang w:eastAsia="en-US"/>
        </w:rPr>
        <w:t>6771</w:t>
      </w:r>
      <w:r w:rsidR="004F2380">
        <w:rPr>
          <w:rFonts w:ascii="Arial" w:eastAsia="Calibri" w:hAnsi="Arial" w:cs="Arial"/>
          <w:u w:val="single"/>
          <w:lang w:eastAsia="en-US"/>
        </w:rPr>
        <w:t>20</w:t>
      </w:r>
      <w:r w:rsidR="001B449C">
        <w:rPr>
          <w:rFonts w:ascii="Arial" w:eastAsia="Calibri" w:hAnsi="Arial" w:cs="Arial"/>
          <w:u w:val="single"/>
          <w:lang w:eastAsia="en-US"/>
        </w:rPr>
        <w:t xml:space="preserve"> </w:t>
      </w:r>
      <w:r w:rsidR="004F2380">
        <w:rPr>
          <w:rFonts w:ascii="Arial" w:eastAsia="Calibri" w:hAnsi="Arial" w:cs="Arial"/>
          <w:u w:val="single"/>
          <w:lang w:eastAsia="en-US"/>
        </w:rPr>
        <w:t xml:space="preserve"> </w:t>
      </w:r>
      <w:r w:rsidR="001B449C" w:rsidRPr="001B449C">
        <w:rPr>
          <w:rFonts w:ascii="Arial" w:eastAsia="Calibri" w:hAnsi="Arial" w:cs="Arial"/>
          <w:u w:val="single"/>
          <w:lang w:eastAsia="en-US"/>
        </w:rPr>
        <w:t xml:space="preserve">“Solicito la copia de la factura y los documentos que acrediten el monto y el egreso pagado por la compra de la pizarra que indica las votaciones en el Congreso del Estado de Coahuila”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w:t>
      </w:r>
      <w:r w:rsidR="00FE1A32" w:rsidRPr="003357AB">
        <w:rPr>
          <w:rFonts w:ascii="Arial" w:hAnsi="Arial" w:cs="Arial"/>
          <w:b/>
        </w:rPr>
        <w:t xml:space="preserve">INFORMACIÓN </w:t>
      </w:r>
      <w:r w:rsidR="00233F27" w:rsidRPr="003357AB">
        <w:rPr>
          <w:rFonts w:ascii="Arial" w:hAnsi="Arial" w:cs="Arial"/>
          <w:b/>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a</w:t>
      </w:r>
      <w:r w:rsidR="008D538D">
        <w:rPr>
          <w:rFonts w:ascii="Arial" w:hAnsi="Arial"/>
          <w:lang w:val="es-MX"/>
        </w:rPr>
        <w:t xml:space="preserve"> (</w:t>
      </w:r>
      <w:r w:rsidR="003357AB">
        <w:rPr>
          <w:rFonts w:ascii="Arial" w:hAnsi="Arial" w:cs="Arial"/>
        </w:rPr>
        <w:t>00</w:t>
      </w:r>
      <w:r w:rsidR="001B449C">
        <w:rPr>
          <w:rFonts w:ascii="Arial" w:hAnsi="Arial" w:cs="Arial"/>
        </w:rPr>
        <w:t>6771</w:t>
      </w:r>
      <w:r w:rsidR="004F2380">
        <w:rPr>
          <w:rFonts w:ascii="Arial" w:hAnsi="Arial" w:cs="Arial"/>
        </w:rPr>
        <w:t>2</w:t>
      </w:r>
      <w:r w:rsidR="003357AB">
        <w:rPr>
          <w:rFonts w:ascii="Arial" w:hAnsi="Arial" w:cs="Arial"/>
        </w:rPr>
        <w:t>0</w:t>
      </w:r>
      <w:r w:rsidR="008D538D">
        <w:rPr>
          <w:rFonts w:ascii="Arial" w:hAnsi="Arial"/>
          <w:lang w:val="es-MX"/>
        </w:rPr>
        <w:t>)</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requiere</w:t>
      </w:r>
      <w:r w:rsidR="003357AB">
        <w:rPr>
          <w:rFonts w:ascii="Arial" w:hAnsi="Arial"/>
          <w:lang w:val="es-MX"/>
        </w:rPr>
        <w:t xml:space="preserve"> el</w:t>
      </w:r>
      <w:r w:rsidR="00653E88">
        <w:rPr>
          <w:rFonts w:ascii="Arial" w:hAnsi="Arial"/>
          <w:lang w:val="es-MX"/>
        </w:rPr>
        <w:t xml:space="preserve">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w:t>
      </w:r>
      <w:r w:rsidR="008D538D">
        <w:rPr>
          <w:rFonts w:ascii="Arial" w:hAnsi="Arial"/>
        </w:rPr>
        <w:t>s</w:t>
      </w:r>
      <w:r w:rsidR="00475713" w:rsidRPr="00475713">
        <w:rPr>
          <w:rFonts w:ascii="Arial" w:hAnsi="Arial"/>
        </w:rPr>
        <w:t xml:space="preserve"> propuesta</w:t>
      </w:r>
      <w:r w:rsidR="008D538D">
        <w:rPr>
          <w:rFonts w:ascii="Arial" w:hAnsi="Arial"/>
        </w:rPr>
        <w:t>s</w:t>
      </w:r>
      <w:r w:rsidR="00475713" w:rsidRPr="00475713">
        <w:rPr>
          <w:rFonts w:ascii="Arial" w:hAnsi="Arial"/>
        </w:rPr>
        <w:t xml:space="preserve"> de que se clasifique como 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que se considera información </w:t>
      </w:r>
      <w:r>
        <w:rPr>
          <w:rFonts w:ascii="Arial" w:hAnsi="Arial" w:cs="Arial"/>
          <w:bCs/>
        </w:rPr>
        <w:t xml:space="preserve">reservada </w:t>
      </w:r>
      <w:r w:rsidR="00C1164C"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en </w:t>
      </w:r>
      <w:r w:rsidR="00C77027">
        <w:rPr>
          <w:rFonts w:ascii="Arial" w:hAnsi="Arial"/>
          <w:bCs/>
        </w:rPr>
        <w:t xml:space="preserve">ambas </w:t>
      </w:r>
      <w:r w:rsidR="008D538D">
        <w:rPr>
          <w:rFonts w:ascii="Arial" w:hAnsi="Arial"/>
          <w:bCs/>
        </w:rPr>
        <w:t xml:space="preserve">las solicitudes </w:t>
      </w:r>
      <w:r>
        <w:rPr>
          <w:rFonts w:ascii="Arial" w:hAnsi="Arial"/>
          <w:bCs/>
        </w:rPr>
        <w:t xml:space="preserve">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035308"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w:t>
      </w:r>
      <w:r w:rsidR="003357AB">
        <w:rPr>
          <w:rFonts w:ascii="Arial" w:hAnsi="Arial"/>
          <w:bCs/>
        </w:rPr>
        <w:t>a</w:t>
      </w:r>
      <w:r w:rsidR="00990888" w:rsidRPr="00990888">
        <w:rPr>
          <w:rFonts w:ascii="Arial" w:hAnsi="Arial"/>
          <w:bCs/>
        </w:rPr>
        <w:t xml:space="preserve"> en </w:t>
      </w:r>
      <w:r w:rsidR="003357AB">
        <w:rPr>
          <w:rFonts w:ascii="Arial" w:hAnsi="Arial"/>
          <w:bCs/>
        </w:rPr>
        <w:t xml:space="preserve">la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035308" w:rsidRDefault="00035308"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w:t>
      </w:r>
      <w:r w:rsidR="00606847">
        <w:rPr>
          <w:rFonts w:ascii="Arial" w:hAnsi="Arial"/>
          <w:bCs/>
        </w:rPr>
        <w:t>9</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 xml:space="preserv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Pr>
          <w:rFonts w:ascii="Arial" w:hAnsi="Arial"/>
        </w:rPr>
        <w:t>de la Información de</w:t>
      </w:r>
      <w:r w:rsidR="00C77027">
        <w:rPr>
          <w:rFonts w:ascii="Arial" w:hAnsi="Arial"/>
        </w:rPr>
        <w:t xml:space="preserve"> la</w:t>
      </w:r>
      <w:r>
        <w:rPr>
          <w:rFonts w:ascii="Arial" w:hAnsi="Arial"/>
        </w:rPr>
        <w:t xml:space="preserve"> solicitud</w:t>
      </w:r>
      <w:r w:rsidR="00C77027">
        <w:rPr>
          <w:rFonts w:ascii="Arial" w:hAnsi="Arial"/>
        </w:rPr>
        <w:t xml:space="preserve"> </w:t>
      </w:r>
      <w:r w:rsidR="003357AB">
        <w:rPr>
          <w:rFonts w:ascii="Arial" w:hAnsi="Arial"/>
        </w:rPr>
        <w:t>00</w:t>
      </w:r>
      <w:r w:rsidR="001B449C">
        <w:rPr>
          <w:rFonts w:ascii="Arial" w:hAnsi="Arial"/>
        </w:rPr>
        <w:t>6771</w:t>
      </w:r>
      <w:r w:rsidR="003357AB">
        <w:rPr>
          <w:rFonts w:ascii="Arial" w:hAnsi="Arial"/>
        </w:rPr>
        <w:t>20</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w:t>
      </w:r>
      <w:r w:rsidR="00C77027">
        <w:rPr>
          <w:rFonts w:ascii="Arial" w:hAnsi="Arial" w:cs="Arial"/>
        </w:rPr>
        <w:t>s</w:t>
      </w:r>
      <w:r>
        <w:rPr>
          <w:rFonts w:ascii="Arial" w:hAnsi="Arial" w:cs="Arial"/>
        </w:rPr>
        <w:t xml:space="preserve"> solicitud de información</w:t>
      </w:r>
      <w:r w:rsidR="00C77027">
        <w:rPr>
          <w:rFonts w:ascii="Arial" w:hAnsi="Arial" w:cs="Arial"/>
        </w:rPr>
        <w:t xml:space="preserve"> </w:t>
      </w:r>
      <w:r w:rsidR="003357AB">
        <w:rPr>
          <w:rFonts w:ascii="Arial" w:hAnsi="Arial" w:cs="Arial"/>
        </w:rPr>
        <w:t>00</w:t>
      </w:r>
      <w:r w:rsidR="001B449C">
        <w:rPr>
          <w:rFonts w:ascii="Arial" w:hAnsi="Arial" w:cs="Arial"/>
        </w:rPr>
        <w:t>6771</w:t>
      </w:r>
      <w:r w:rsidR="00E75BC9">
        <w:rPr>
          <w:rFonts w:ascii="Arial" w:hAnsi="Arial" w:cs="Arial"/>
        </w:rPr>
        <w:t>20</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3357AB">
        <w:rPr>
          <w:rFonts w:ascii="Arial" w:hAnsi="Arial" w:cs="Arial"/>
        </w:rPr>
        <w:t>Lic. Gerardo Blanco Guerra</w:t>
      </w:r>
      <w:r w:rsidRPr="00621B63">
        <w:rPr>
          <w:rFonts w:ascii="Arial" w:hAnsi="Arial" w:cs="Arial"/>
        </w:rPr>
        <w:t>.- Presidente</w:t>
      </w:r>
      <w:r w:rsidR="003357AB">
        <w:rPr>
          <w:rFonts w:ascii="Arial" w:hAnsi="Arial" w:cs="Arial"/>
        </w:rPr>
        <w:t xml:space="preserve"> y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3357AB">
        <w:rPr>
          <w:rFonts w:ascii="Arial" w:hAnsi="Arial" w:cs="Arial"/>
        </w:rPr>
        <w:t>Lic. Miguel Ángel Flores Luis</w:t>
      </w:r>
      <w:r w:rsidR="00592601">
        <w:rPr>
          <w:rFonts w:ascii="Arial" w:hAnsi="Arial" w:cs="Arial"/>
        </w:rPr>
        <w:t xml:space="preserve"> y la </w:t>
      </w:r>
      <w:r w:rsidR="00592601" w:rsidRPr="00592601">
        <w:rPr>
          <w:rFonts w:ascii="Arial" w:hAnsi="Arial" w:cs="Arial"/>
        </w:rPr>
        <w:t>L</w:t>
      </w:r>
      <w:r w:rsidR="003357AB">
        <w:rPr>
          <w:rFonts w:ascii="Arial" w:hAnsi="Arial" w:cs="Arial"/>
        </w:rPr>
        <w:t>ic</w:t>
      </w:r>
      <w:r w:rsidR="00592601" w:rsidRPr="00592601">
        <w:rPr>
          <w:rFonts w:ascii="Arial" w:hAnsi="Arial" w:cs="Arial"/>
        </w:rPr>
        <w:t>. L</w:t>
      </w:r>
      <w:r w:rsidR="003357AB">
        <w:rPr>
          <w:rFonts w:ascii="Arial" w:hAnsi="Arial" w:cs="Arial"/>
        </w:rPr>
        <w:t xml:space="preserve">eticia </w:t>
      </w:r>
      <w:r w:rsidR="001B449C">
        <w:rPr>
          <w:rFonts w:ascii="Arial" w:hAnsi="Arial" w:cs="Arial"/>
        </w:rPr>
        <w:t>Elsa Fabiola Sifuentes Ortiz</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esponsable</w:t>
      </w:r>
      <w:r w:rsidR="001B449C">
        <w:rPr>
          <w:rFonts w:ascii="Arial" w:hAnsi="Arial" w:cs="Arial"/>
        </w:rPr>
        <w:t xml:space="preserve"> Interina</w:t>
      </w:r>
      <w:r w:rsidRPr="00621B63">
        <w:rPr>
          <w:rFonts w:ascii="Arial" w:hAnsi="Arial" w:cs="Arial"/>
        </w:rPr>
        <w:t xml:space="preserv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r w:rsidR="003357AB">
        <w:rPr>
          <w:b/>
        </w:rPr>
        <w:t>-----------------------------------------------------------------------</w:t>
      </w:r>
    </w:p>
    <w:p w:rsidR="003357AB" w:rsidRDefault="003357AB" w:rsidP="003357AB">
      <w:pPr>
        <w:spacing w:after="200" w:line="360" w:lineRule="auto"/>
        <w:jc w:val="center"/>
        <w:rPr>
          <w:rFonts w:ascii="Arial" w:eastAsia="Calibri" w:hAnsi="Arial" w:cs="Arial"/>
          <w:b/>
          <w:sz w:val="22"/>
          <w:szCs w:val="22"/>
          <w:lang w:val="es-MX" w:eastAsia="en-US"/>
        </w:rPr>
      </w:pPr>
    </w:p>
    <w:p w:rsidR="003357AB" w:rsidRDefault="003357AB" w:rsidP="003357AB">
      <w:pPr>
        <w:spacing w:after="200" w:line="360" w:lineRule="auto"/>
        <w:jc w:val="center"/>
        <w:rPr>
          <w:rFonts w:ascii="Arial" w:eastAsia="Calibri" w:hAnsi="Arial" w:cs="Arial"/>
          <w:b/>
          <w:sz w:val="22"/>
          <w:szCs w:val="22"/>
          <w:lang w:val="es-MX" w:eastAsia="en-US"/>
        </w:rPr>
      </w:pPr>
    </w:p>
    <w:p w:rsidR="003357AB" w:rsidRDefault="003357AB" w:rsidP="003357AB">
      <w:pPr>
        <w:spacing w:after="200" w:line="360" w:lineRule="auto"/>
        <w:jc w:val="center"/>
        <w:rPr>
          <w:rFonts w:ascii="Arial" w:eastAsia="Calibri" w:hAnsi="Arial" w:cs="Arial"/>
          <w:b/>
          <w:sz w:val="22"/>
          <w:szCs w:val="22"/>
          <w:lang w:val="es-MX" w:eastAsia="en-US"/>
        </w:rPr>
      </w:pP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COMITÉ DE TRANSPARENCIA DEL CONGRESO DEL ESTADO.</w:t>
      </w:r>
    </w:p>
    <w:tbl>
      <w:tblPr>
        <w:tblStyle w:val="Tablaconcuadrcula"/>
        <w:tblW w:w="0" w:type="auto"/>
        <w:tblLook w:val="04A0" w:firstRow="1" w:lastRow="0" w:firstColumn="1" w:lastColumn="0" w:noHBand="0" w:noVBand="1"/>
      </w:tblPr>
      <w:tblGrid>
        <w:gridCol w:w="5178"/>
        <w:gridCol w:w="3878"/>
      </w:tblGrid>
      <w:tr w:rsidR="003357AB" w:rsidRPr="003357AB" w:rsidTr="00863BFF">
        <w:tc>
          <w:tcPr>
            <w:tcW w:w="4799" w:type="dxa"/>
            <w:tcBorders>
              <w:bottom w:val="single" w:sz="4" w:space="0" w:color="auto"/>
            </w:tcBorders>
          </w:tcPr>
          <w:p w:rsidR="00B3738D"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hAnsi="Arial" w:cs="Arial"/>
                <w:b/>
                <w:noProof/>
                <w:lang w:val="es-MX" w:eastAsia="es-MX"/>
              </w:rPr>
              <w:drawing>
                <wp:inline distT="0" distB="0" distL="0" distR="0" wp14:anchorId="23DC7FF4" wp14:editId="5D256A30">
                  <wp:extent cx="2686050" cy="1038225"/>
                  <wp:effectExtent l="0" t="0" r="0" b="0"/>
                  <wp:docPr id="23" name="Imagen 23"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3357AB" w:rsidRPr="003357AB"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eastAsia="Calibri" w:hAnsi="Arial" w:cs="Arial"/>
                <w:b/>
                <w:noProof/>
                <w:sz w:val="22"/>
                <w:szCs w:val="22"/>
                <w:lang w:val="es-MX" w:eastAsia="es-MX"/>
              </w:rPr>
              <w:t>LIC. GERARDO BLANCO GUERRA.</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PRESIDENTE</w:t>
            </w:r>
          </w:p>
          <w:p w:rsidR="003357AB" w:rsidRPr="003357AB" w:rsidRDefault="003357AB" w:rsidP="003357AB">
            <w:pPr>
              <w:spacing w:after="200" w:line="360" w:lineRule="auto"/>
              <w:jc w:val="center"/>
              <w:rPr>
                <w:rFonts w:ascii="Arial" w:eastAsia="Calibri" w:hAnsi="Arial" w:cs="Arial"/>
                <w:b/>
                <w:sz w:val="22"/>
                <w:szCs w:val="22"/>
                <w:lang w:val="es-MX" w:eastAsia="en-US"/>
              </w:rPr>
            </w:pPr>
          </w:p>
        </w:tc>
        <w:tc>
          <w:tcPr>
            <w:tcW w:w="4800" w:type="dxa"/>
            <w:tcBorders>
              <w:bottom w:val="single" w:sz="4" w:space="0" w:color="auto"/>
            </w:tcBorders>
          </w:tcPr>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noProof/>
                <w:lang w:val="es-MX" w:eastAsia="es-MX"/>
              </w:rPr>
              <w:drawing>
                <wp:inline distT="0" distB="0" distL="0" distR="0" wp14:anchorId="6932228B" wp14:editId="43642688">
                  <wp:extent cx="2076450" cy="857250"/>
                  <wp:effectExtent l="0" t="0" r="0" b="0"/>
                  <wp:docPr id="24" name="Imagen 24"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MIGUEL ANGEL FLORES LUIS</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VOCAL.</w:t>
            </w:r>
          </w:p>
          <w:p w:rsidR="003357AB" w:rsidRPr="003357AB" w:rsidRDefault="003357AB" w:rsidP="003357AB">
            <w:pPr>
              <w:spacing w:after="200" w:line="276" w:lineRule="auto"/>
              <w:jc w:val="center"/>
              <w:rPr>
                <w:rFonts w:ascii="Arial" w:eastAsia="Calibri" w:hAnsi="Arial" w:cs="Arial"/>
                <w:sz w:val="22"/>
                <w:szCs w:val="22"/>
                <w:lang w:val="es-MX" w:eastAsia="en-US"/>
              </w:rPr>
            </w:pPr>
          </w:p>
        </w:tc>
      </w:tr>
      <w:tr w:rsidR="003357AB" w:rsidRPr="003357AB" w:rsidTr="00863BFF">
        <w:tc>
          <w:tcPr>
            <w:tcW w:w="4799" w:type="dxa"/>
            <w:tcBorders>
              <w:right w:val="single" w:sz="4" w:space="0" w:color="auto"/>
            </w:tcBorders>
          </w:tcPr>
          <w:p w:rsidR="003357AB" w:rsidRPr="003357AB" w:rsidRDefault="003357AB" w:rsidP="003357AB">
            <w:pPr>
              <w:spacing w:line="360" w:lineRule="auto"/>
              <w:jc w:val="center"/>
              <w:rPr>
                <w:rFonts w:ascii="Calibri" w:eastAsia="Calibri" w:hAnsi="Calibri"/>
                <w:sz w:val="22"/>
                <w:szCs w:val="22"/>
                <w:lang w:val="es-MX" w:eastAsia="en-US"/>
              </w:rPr>
            </w:pPr>
          </w:p>
          <w:p w:rsidR="001B449C" w:rsidRPr="001B449C" w:rsidRDefault="001B449C" w:rsidP="001B449C">
            <w:pPr>
              <w:spacing w:line="360" w:lineRule="auto"/>
              <w:jc w:val="center"/>
              <w:rPr>
                <w:rFonts w:ascii="Arial" w:eastAsia="Calibri" w:hAnsi="Arial" w:cs="Arial"/>
                <w:b/>
                <w:sz w:val="22"/>
                <w:szCs w:val="22"/>
                <w:lang w:val="es-MX" w:eastAsia="en-US"/>
              </w:rPr>
            </w:pPr>
            <w:r w:rsidRPr="001B449C">
              <w:rPr>
                <w:rFonts w:ascii="Arial" w:eastAsia="Calibri" w:hAnsi="Arial" w:cs="Arial"/>
                <w:b/>
                <w:noProof/>
                <w:sz w:val="22"/>
                <w:szCs w:val="22"/>
                <w:lang w:val="es-MX" w:eastAsia="es-MX"/>
              </w:rPr>
              <w:drawing>
                <wp:inline distT="0" distB="0" distL="0" distR="0" wp14:anchorId="2D223FF7" wp14:editId="15FCB363">
                  <wp:extent cx="3150870" cy="894715"/>
                  <wp:effectExtent l="0" t="0" r="0" b="0"/>
                  <wp:docPr id="11" name="Imagen 11"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1B449C" w:rsidRPr="001B449C" w:rsidRDefault="001B449C" w:rsidP="001B449C">
            <w:pPr>
              <w:spacing w:line="360" w:lineRule="auto"/>
              <w:jc w:val="center"/>
              <w:rPr>
                <w:rFonts w:ascii="Arial" w:eastAsia="Calibri" w:hAnsi="Arial" w:cs="Arial"/>
                <w:b/>
                <w:sz w:val="22"/>
                <w:szCs w:val="22"/>
                <w:lang w:val="es-MX" w:eastAsia="en-US"/>
              </w:rPr>
            </w:pPr>
            <w:r w:rsidRPr="001B449C">
              <w:rPr>
                <w:rFonts w:ascii="Arial" w:eastAsia="Calibri" w:hAnsi="Arial" w:cs="Arial"/>
                <w:b/>
                <w:sz w:val="22"/>
                <w:szCs w:val="22"/>
                <w:lang w:val="es-MX" w:eastAsia="en-US"/>
              </w:rPr>
              <w:t>LIC. ELSA FABIOLA SIFUENTES ORTIZ.</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SECRETARIO.</w:t>
            </w:r>
          </w:p>
          <w:p w:rsidR="003357AB" w:rsidRPr="003357AB" w:rsidRDefault="003357AB" w:rsidP="003357AB">
            <w:pPr>
              <w:spacing w:after="200" w:line="360" w:lineRule="auto"/>
              <w:jc w:val="both"/>
              <w:rPr>
                <w:rFonts w:ascii="Arial" w:eastAsia="Calibri" w:hAnsi="Arial" w:cs="Arial"/>
                <w:b/>
                <w:sz w:val="22"/>
                <w:szCs w:val="22"/>
                <w:lang w:val="es-MX" w:eastAsia="en-US"/>
              </w:rPr>
            </w:pPr>
          </w:p>
        </w:tc>
        <w:tc>
          <w:tcPr>
            <w:tcW w:w="4800" w:type="dxa"/>
            <w:tcBorders>
              <w:top w:val="single" w:sz="4" w:space="0" w:color="auto"/>
              <w:left w:val="single" w:sz="4" w:space="0" w:color="auto"/>
              <w:bottom w:val="nil"/>
              <w:right w:val="nil"/>
            </w:tcBorders>
          </w:tcPr>
          <w:p w:rsidR="003357AB" w:rsidRPr="003357AB" w:rsidRDefault="003357AB" w:rsidP="003357AB">
            <w:pPr>
              <w:spacing w:after="200" w:line="360" w:lineRule="auto"/>
              <w:jc w:val="both"/>
              <w:rPr>
                <w:rFonts w:ascii="Arial" w:eastAsia="Calibri" w:hAnsi="Arial" w:cs="Arial"/>
                <w:b/>
                <w:sz w:val="22"/>
                <w:szCs w:val="22"/>
                <w:lang w:val="es-MX" w:eastAsia="en-US"/>
              </w:rPr>
            </w:pPr>
          </w:p>
        </w:tc>
      </w:tr>
    </w:tbl>
    <w:p w:rsidR="00423308" w:rsidRDefault="003B21B3" w:rsidP="00423308">
      <w:pPr>
        <w:spacing w:line="360" w:lineRule="auto"/>
        <w:jc w:val="center"/>
        <w:rPr>
          <w:rFonts w:ascii="Arial" w:hAnsi="Arial" w:cs="Arial"/>
          <w:b/>
        </w:rPr>
      </w:pPr>
      <w:r>
        <w:rPr>
          <w:rFonts w:ascii="Arial" w:hAnsi="Arial" w:cs="Arial"/>
          <w:b/>
        </w:rPr>
        <w:t xml:space="preserve">                                                                                                                                                                                        </w:t>
      </w:r>
    </w:p>
    <w:sectPr w:rsidR="00423308" w:rsidSect="009D1276">
      <w:headerReference w:type="default"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FF" w:rsidRDefault="00C801FF" w:rsidP="003B7936">
      <w:r>
        <w:separator/>
      </w:r>
    </w:p>
  </w:endnote>
  <w:endnote w:type="continuationSeparator" w:id="0">
    <w:p w:rsidR="00C801FF" w:rsidRDefault="00C801FF"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FF" w:rsidRDefault="00C801FF" w:rsidP="003B7936">
      <w:r>
        <w:separator/>
      </w:r>
    </w:p>
  </w:footnote>
  <w:footnote w:type="continuationSeparator" w:id="0">
    <w:p w:rsidR="00C801FF" w:rsidRDefault="00C801FF"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jc w:val="center"/>
      <w:tblLook w:val="04A0" w:firstRow="1" w:lastRow="0" w:firstColumn="1" w:lastColumn="0" w:noHBand="0" w:noVBand="1"/>
    </w:tblPr>
    <w:tblGrid>
      <w:gridCol w:w="1253"/>
      <w:gridCol w:w="8623"/>
      <w:gridCol w:w="1181"/>
    </w:tblGrid>
    <w:tr w:rsidR="00590C3C" w:rsidRPr="00590C3C" w:rsidTr="00863BFF">
      <w:trPr>
        <w:jc w:val="center"/>
      </w:trPr>
      <w:tc>
        <w:tcPr>
          <w:tcW w:w="1253" w:type="dxa"/>
        </w:tcPr>
        <w:p w:rsidR="00590C3C" w:rsidRDefault="00590C3C" w:rsidP="00590C3C">
          <w:pPr>
            <w:jc w:val="center"/>
            <w:rPr>
              <w:rFonts w:ascii="Arial" w:hAnsi="Arial"/>
              <w:b/>
              <w:bCs/>
              <w:sz w:val="12"/>
              <w:szCs w:val="20"/>
              <w:lang w:val="es-MX"/>
            </w:rPr>
          </w:pPr>
          <w:r>
            <w:rPr>
              <w:rFonts w:ascii="Arial" w:hAnsi="Arial"/>
              <w:b/>
              <w:bCs/>
              <w:noProof/>
              <w:sz w:val="12"/>
              <w:szCs w:val="20"/>
              <w:lang w:val="es-MX" w:eastAsia="es-MX"/>
            </w:rPr>
            <w:drawing>
              <wp:anchor distT="0" distB="0" distL="114300" distR="114300" simplePos="0" relativeHeight="251664896" behindDoc="0" locked="0" layoutInCell="1" allowOverlap="1" wp14:anchorId="1C5A409B" wp14:editId="4D6D43F6">
                <wp:simplePos x="0" y="0"/>
                <wp:positionH relativeFrom="column">
                  <wp:posOffset>419735</wp:posOffset>
                </wp:positionH>
                <wp:positionV relativeFrom="paragraph">
                  <wp:posOffset>16924</wp:posOffset>
                </wp:positionV>
                <wp:extent cx="844550" cy="1013460"/>
                <wp:effectExtent l="0" t="0" r="0" b="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84455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8623" w:type="dxa"/>
        </w:tcPr>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w:t>
          </w:r>
        </w:p>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Congreso del Estado Independiente,</w:t>
          </w:r>
        </w:p>
        <w:p w:rsidR="00590C3C" w:rsidRPr="00590C3C" w:rsidRDefault="00590C3C" w:rsidP="00590C3C">
          <w:pPr>
            <w:tabs>
              <w:tab w:val="center" w:pos="4252"/>
              <w:tab w:val="left" w:pos="5040"/>
              <w:tab w:val="right" w:pos="8504"/>
            </w:tabs>
            <w:ind w:right="-93"/>
            <w:jc w:val="center"/>
            <w:rPr>
              <w:rFonts w:cs="Arial"/>
              <w:bCs/>
              <w:smallCaps/>
              <w:spacing w:val="20"/>
              <w:sz w:val="32"/>
              <w:szCs w:val="32"/>
              <w:lang w:val="es-MX"/>
            </w:rPr>
          </w:pPr>
          <w:r w:rsidRPr="00590C3C">
            <w:rPr>
              <w:rFonts w:cs="Arial"/>
              <w:bCs/>
              <w:smallCaps/>
              <w:spacing w:val="20"/>
              <w:sz w:val="32"/>
              <w:szCs w:val="32"/>
              <w:lang w:val="es-MX"/>
            </w:rPr>
            <w:t xml:space="preserve">        Libre y Soberano de Coahuila de Zaragoza</w:t>
          </w:r>
        </w:p>
        <w:p w:rsidR="00590C3C" w:rsidRPr="00590C3C" w:rsidRDefault="00590C3C" w:rsidP="00590C3C">
          <w:pPr>
            <w:tabs>
              <w:tab w:val="left" w:pos="-1528"/>
              <w:tab w:val="center" w:pos="-1386"/>
              <w:tab w:val="right" w:pos="8504"/>
            </w:tabs>
            <w:jc w:val="center"/>
            <w:rPr>
              <w:rFonts w:ascii="Arial" w:hAnsi="Arial" w:cs="Arial"/>
              <w:bCs/>
              <w:smallCaps/>
              <w:spacing w:val="20"/>
              <w:sz w:val="16"/>
              <w:szCs w:val="32"/>
              <w:lang w:val="es-MX"/>
            </w:rPr>
          </w:pPr>
        </w:p>
        <w:p w:rsidR="00590C3C" w:rsidRPr="00590C3C" w:rsidRDefault="00590C3C" w:rsidP="00590C3C">
          <w:pPr>
            <w:tabs>
              <w:tab w:val="center" w:pos="4419"/>
              <w:tab w:val="right" w:pos="8838"/>
            </w:tabs>
            <w:jc w:val="center"/>
            <w:rPr>
              <w:rFonts w:ascii="Calibri" w:eastAsia="Calibri" w:hAnsi="Calibri"/>
              <w:lang w:val="es-MX" w:eastAsia="en-US"/>
            </w:rPr>
          </w:pPr>
          <w:r w:rsidRPr="00590C3C">
            <w:rPr>
              <w:rFonts w:ascii="Calibri" w:hAnsi="Calibri"/>
              <w:bCs/>
              <w:sz w:val="15"/>
              <w:szCs w:val="15"/>
              <w:lang w:val="es-MX"/>
            </w:rPr>
            <w:t>“2020, Año del Centenario luctuoso de Venustiano Carranza, el Varón de Cuatro Ciénegas”</w:t>
          </w:r>
          <w:r w:rsidRPr="00590C3C">
            <w:rPr>
              <w:rFonts w:ascii="Calibri" w:eastAsia="Calibri" w:hAnsi="Calibri"/>
              <w:noProof/>
              <w:sz w:val="22"/>
              <w:szCs w:val="22"/>
              <w:lang w:val="es-MX" w:eastAsia="es-MX"/>
            </w:rPr>
            <w:drawing>
              <wp:anchor distT="0" distB="0" distL="114300" distR="114300" simplePos="0" relativeHeight="251654656" behindDoc="0" locked="0" layoutInCell="1" allowOverlap="1" wp14:anchorId="53C6F87E" wp14:editId="1337D437">
                <wp:simplePos x="0" y="0"/>
                <wp:positionH relativeFrom="column">
                  <wp:posOffset>6828790</wp:posOffset>
                </wp:positionH>
                <wp:positionV relativeFrom="paragraph">
                  <wp:posOffset>57150</wp:posOffset>
                </wp:positionV>
                <wp:extent cx="485140" cy="1323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1181" w:type="dxa"/>
        </w:tcPr>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tc>
    </w:tr>
  </w:tbl>
  <w:p w:rsidR="0057331D" w:rsidRDefault="00590C3C">
    <w:pPr>
      <w:pStyle w:val="Encabezado"/>
      <w:rPr>
        <w:noProof/>
        <w:lang w:val="es-MX" w:eastAsia="es-MX"/>
      </w:rPr>
    </w:pPr>
    <w:r>
      <w:rPr>
        <w:rFonts w:ascii="Arial" w:hAnsi="Arial"/>
        <w:b/>
        <w:bCs/>
        <w:noProof/>
        <w:sz w:val="12"/>
        <w:szCs w:val="20"/>
        <w:lang w:val="es-MX" w:eastAsia="es-MX"/>
      </w:rPr>
      <w:drawing>
        <wp:anchor distT="0" distB="0" distL="114300" distR="114300" simplePos="0" relativeHeight="251657728" behindDoc="0" locked="0" layoutInCell="1" allowOverlap="1" wp14:anchorId="65036914" wp14:editId="4EE314A8">
          <wp:simplePos x="0" y="0"/>
          <wp:positionH relativeFrom="column">
            <wp:posOffset>5435600</wp:posOffset>
          </wp:positionH>
          <wp:positionV relativeFrom="paragraph">
            <wp:posOffset>-1257521</wp:posOffset>
          </wp:positionV>
          <wp:extent cx="485140" cy="1323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72" w:rsidRDefault="00165C72" w:rsidP="00207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35308"/>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76BF8"/>
    <w:rsid w:val="00180BF6"/>
    <w:rsid w:val="00182BD0"/>
    <w:rsid w:val="00185644"/>
    <w:rsid w:val="00187C5C"/>
    <w:rsid w:val="00193934"/>
    <w:rsid w:val="001A1DFC"/>
    <w:rsid w:val="001A2DC3"/>
    <w:rsid w:val="001B18F4"/>
    <w:rsid w:val="001B449C"/>
    <w:rsid w:val="001B4C30"/>
    <w:rsid w:val="001C4A4F"/>
    <w:rsid w:val="001C71BD"/>
    <w:rsid w:val="001D3F82"/>
    <w:rsid w:val="001D50D9"/>
    <w:rsid w:val="001E2041"/>
    <w:rsid w:val="001F61C9"/>
    <w:rsid w:val="001F71B1"/>
    <w:rsid w:val="00205D0A"/>
    <w:rsid w:val="00206852"/>
    <w:rsid w:val="002075A8"/>
    <w:rsid w:val="00211FB6"/>
    <w:rsid w:val="00233F27"/>
    <w:rsid w:val="00243C9F"/>
    <w:rsid w:val="0024402F"/>
    <w:rsid w:val="0024620A"/>
    <w:rsid w:val="002537BD"/>
    <w:rsid w:val="00256749"/>
    <w:rsid w:val="002640FD"/>
    <w:rsid w:val="00282CF7"/>
    <w:rsid w:val="00282E6F"/>
    <w:rsid w:val="002901ED"/>
    <w:rsid w:val="00290D3F"/>
    <w:rsid w:val="00293771"/>
    <w:rsid w:val="00295E4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357AB"/>
    <w:rsid w:val="00343760"/>
    <w:rsid w:val="0034657E"/>
    <w:rsid w:val="00346857"/>
    <w:rsid w:val="00362BFB"/>
    <w:rsid w:val="00372D2B"/>
    <w:rsid w:val="00373DB8"/>
    <w:rsid w:val="00373FF7"/>
    <w:rsid w:val="00376FFA"/>
    <w:rsid w:val="00382B5D"/>
    <w:rsid w:val="00384AA5"/>
    <w:rsid w:val="00390ACB"/>
    <w:rsid w:val="00395D66"/>
    <w:rsid w:val="00396590"/>
    <w:rsid w:val="003A2361"/>
    <w:rsid w:val="003A48D3"/>
    <w:rsid w:val="003B2061"/>
    <w:rsid w:val="003B21B3"/>
    <w:rsid w:val="003B2A6E"/>
    <w:rsid w:val="003B71B3"/>
    <w:rsid w:val="003B7936"/>
    <w:rsid w:val="003C5793"/>
    <w:rsid w:val="003C61C2"/>
    <w:rsid w:val="003F32EB"/>
    <w:rsid w:val="003F5776"/>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4F2380"/>
    <w:rsid w:val="00501C33"/>
    <w:rsid w:val="00502B64"/>
    <w:rsid w:val="00504A5C"/>
    <w:rsid w:val="005104AC"/>
    <w:rsid w:val="00524DDA"/>
    <w:rsid w:val="005360E7"/>
    <w:rsid w:val="0054748F"/>
    <w:rsid w:val="00547880"/>
    <w:rsid w:val="00552099"/>
    <w:rsid w:val="00554495"/>
    <w:rsid w:val="00560EFE"/>
    <w:rsid w:val="005716D8"/>
    <w:rsid w:val="0057331D"/>
    <w:rsid w:val="00590C3C"/>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7030DC"/>
    <w:rsid w:val="0071206F"/>
    <w:rsid w:val="00722B7A"/>
    <w:rsid w:val="00732252"/>
    <w:rsid w:val="00750905"/>
    <w:rsid w:val="00751695"/>
    <w:rsid w:val="00760A97"/>
    <w:rsid w:val="00765952"/>
    <w:rsid w:val="00783255"/>
    <w:rsid w:val="00784AED"/>
    <w:rsid w:val="00787473"/>
    <w:rsid w:val="00787A1B"/>
    <w:rsid w:val="007A78A5"/>
    <w:rsid w:val="007B1233"/>
    <w:rsid w:val="007B1AD6"/>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53527"/>
    <w:rsid w:val="00864925"/>
    <w:rsid w:val="00876C73"/>
    <w:rsid w:val="00880D7B"/>
    <w:rsid w:val="008957A1"/>
    <w:rsid w:val="008A02BA"/>
    <w:rsid w:val="008A04D2"/>
    <w:rsid w:val="008B0EDF"/>
    <w:rsid w:val="008C57ED"/>
    <w:rsid w:val="008D20DD"/>
    <w:rsid w:val="008D3A57"/>
    <w:rsid w:val="008D538D"/>
    <w:rsid w:val="008D6275"/>
    <w:rsid w:val="008E61D1"/>
    <w:rsid w:val="0090221E"/>
    <w:rsid w:val="00905942"/>
    <w:rsid w:val="009214A2"/>
    <w:rsid w:val="00922998"/>
    <w:rsid w:val="00930E5B"/>
    <w:rsid w:val="0093711A"/>
    <w:rsid w:val="0094184A"/>
    <w:rsid w:val="00945BFF"/>
    <w:rsid w:val="0095311B"/>
    <w:rsid w:val="00955CC4"/>
    <w:rsid w:val="009622EF"/>
    <w:rsid w:val="00962757"/>
    <w:rsid w:val="009704AD"/>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4EC3"/>
    <w:rsid w:val="00B1507F"/>
    <w:rsid w:val="00B17298"/>
    <w:rsid w:val="00B20C5C"/>
    <w:rsid w:val="00B25651"/>
    <w:rsid w:val="00B3738D"/>
    <w:rsid w:val="00B406DB"/>
    <w:rsid w:val="00B46B51"/>
    <w:rsid w:val="00B52209"/>
    <w:rsid w:val="00B54543"/>
    <w:rsid w:val="00B628BA"/>
    <w:rsid w:val="00B64585"/>
    <w:rsid w:val="00B67BA3"/>
    <w:rsid w:val="00B70060"/>
    <w:rsid w:val="00B7218E"/>
    <w:rsid w:val="00B76BAA"/>
    <w:rsid w:val="00B76DD2"/>
    <w:rsid w:val="00B83CDD"/>
    <w:rsid w:val="00B9750E"/>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77027"/>
    <w:rsid w:val="00C801FF"/>
    <w:rsid w:val="00C80A10"/>
    <w:rsid w:val="00C902FA"/>
    <w:rsid w:val="00C927DF"/>
    <w:rsid w:val="00CB3299"/>
    <w:rsid w:val="00CC0AC0"/>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241B"/>
    <w:rsid w:val="00E0403C"/>
    <w:rsid w:val="00E059B8"/>
    <w:rsid w:val="00E07B0A"/>
    <w:rsid w:val="00E17E00"/>
    <w:rsid w:val="00E21091"/>
    <w:rsid w:val="00E47E92"/>
    <w:rsid w:val="00E56C86"/>
    <w:rsid w:val="00E6793F"/>
    <w:rsid w:val="00E70823"/>
    <w:rsid w:val="00E75BC9"/>
    <w:rsid w:val="00E87099"/>
    <w:rsid w:val="00E93D1F"/>
    <w:rsid w:val="00E94989"/>
    <w:rsid w:val="00EA535F"/>
    <w:rsid w:val="00EA5B6A"/>
    <w:rsid w:val="00EB4329"/>
    <w:rsid w:val="00EB5F61"/>
    <w:rsid w:val="00EB644B"/>
    <w:rsid w:val="00EC0A97"/>
    <w:rsid w:val="00EC0B07"/>
    <w:rsid w:val="00EC21DE"/>
    <w:rsid w:val="00EC48A0"/>
    <w:rsid w:val="00ED0146"/>
    <w:rsid w:val="00ED06CF"/>
    <w:rsid w:val="00ED2563"/>
    <w:rsid w:val="00ED5008"/>
    <w:rsid w:val="00EF0488"/>
    <w:rsid w:val="00F1516F"/>
    <w:rsid w:val="00F16025"/>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3357AB"/>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CD44-255D-4131-8BA6-D4CC07B5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4198</Words>
  <Characters>23094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2020-09-07T17:47:00Z</cp:lastPrinted>
  <dcterms:created xsi:type="dcterms:W3CDTF">2020-10-05T19:16:00Z</dcterms:created>
  <dcterms:modified xsi:type="dcterms:W3CDTF">2020-10-05T19:16:00Z</dcterms:modified>
</cp:coreProperties>
</file>