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035308">
        <w:rPr>
          <w:b/>
          <w:bCs/>
          <w:sz w:val="24"/>
        </w:rPr>
        <w:t>05</w:t>
      </w:r>
      <w:r w:rsidRPr="00477904">
        <w:rPr>
          <w:b/>
          <w:bCs/>
          <w:sz w:val="24"/>
        </w:rPr>
        <w:t xml:space="preserve"> de </w:t>
      </w:r>
      <w:r w:rsidR="00035308">
        <w:rPr>
          <w:b/>
          <w:bCs/>
          <w:sz w:val="24"/>
        </w:rPr>
        <w:t>noviembre</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w:t>
      </w:r>
      <w:r w:rsidR="00BA66CD">
        <w:rPr>
          <w:b/>
          <w:sz w:val="24"/>
        </w:rPr>
        <w:t>11</w:t>
      </w:r>
      <w:r w:rsidR="00035308">
        <w:rPr>
          <w:b/>
          <w:sz w:val="24"/>
        </w:rPr>
        <w:t>45</w:t>
      </w:r>
      <w:r w:rsidR="00BA66CD">
        <w:rPr>
          <w:b/>
          <w:sz w:val="24"/>
        </w:rPr>
        <w:t>9</w:t>
      </w:r>
      <w:r w:rsidR="004606E9">
        <w:rPr>
          <w:b/>
          <w:sz w:val="24"/>
        </w:rPr>
        <w:t>19</w:t>
      </w:r>
      <w:r w:rsidR="00A376F9" w:rsidRPr="00477904">
        <w:rPr>
          <w:b/>
          <w:sz w:val="24"/>
        </w:rPr>
        <w:t xml:space="preserve">, planteada por </w:t>
      </w:r>
      <w:r w:rsidR="00373FF7">
        <w:rPr>
          <w:b/>
          <w:sz w:val="24"/>
        </w:rPr>
        <w:t xml:space="preserve">el C. </w:t>
      </w:r>
      <w:r w:rsidR="00035308">
        <w:rPr>
          <w:b/>
          <w:sz w:val="24"/>
        </w:rPr>
        <w:t>David Espinoza</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035308">
        <w:rPr>
          <w:b/>
          <w:bCs/>
          <w:sz w:val="24"/>
        </w:rPr>
        <w:t>04</w:t>
      </w:r>
      <w:r w:rsidRPr="00477904">
        <w:rPr>
          <w:b/>
          <w:bCs/>
          <w:sz w:val="24"/>
        </w:rPr>
        <w:t xml:space="preserve"> DE </w:t>
      </w:r>
      <w:r w:rsidR="00035308">
        <w:rPr>
          <w:b/>
          <w:bCs/>
          <w:sz w:val="24"/>
        </w:rPr>
        <w:t>NOVIEMBRE</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373FF7" w:rsidP="00373FF7">
      <w:pPr>
        <w:pStyle w:val="Textoindependiente"/>
        <w:ind w:right="1"/>
        <w:jc w:val="center"/>
        <w:rPr>
          <w:b/>
          <w:bCs/>
          <w:sz w:val="24"/>
        </w:rPr>
      </w:pPr>
      <w:r w:rsidRPr="007A385A">
        <w:rPr>
          <w:rFonts w:ascii="Arial" w:eastAsia="Calibri" w:hAnsi="Arial" w:cs="Arial"/>
          <w:b/>
          <w:noProof/>
          <w:lang w:val="es-MX" w:eastAsia="es-MX"/>
        </w:rPr>
        <w:drawing>
          <wp:inline distT="0" distB="0" distL="0" distR="0" wp14:anchorId="58E25B88" wp14:editId="7EDE6631">
            <wp:extent cx="2347595" cy="826770"/>
            <wp:effectExtent l="0" t="0" r="0" b="0"/>
            <wp:docPr id="10"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035308" w:rsidRDefault="00035308" w:rsidP="00373FF7">
      <w:pPr>
        <w:pStyle w:val="Textoindependiente"/>
        <w:ind w:right="1"/>
        <w:jc w:val="center"/>
        <w:rPr>
          <w:b/>
          <w:bCs/>
          <w:szCs w:val="28"/>
        </w:rPr>
      </w:pPr>
    </w:p>
    <w:p w:rsidR="00035308" w:rsidRDefault="00035308"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t>LISTA DE ASISTENCIA</w:t>
      </w:r>
    </w:p>
    <w:p w:rsidR="00373FF7" w:rsidRDefault="00373FF7" w:rsidP="00373FF7">
      <w:pPr>
        <w:pStyle w:val="Textoindependiente"/>
        <w:ind w:right="1"/>
        <w:jc w:val="center"/>
        <w:rPr>
          <w:b/>
          <w:bCs/>
          <w:szCs w:val="28"/>
        </w:rPr>
      </w:pPr>
      <w:r>
        <w:rPr>
          <w:b/>
          <w:bCs/>
          <w:szCs w:val="28"/>
        </w:rPr>
        <w:t>REUNIÓN DEL COMITÉ DE TRANSPARENCIA.</w:t>
      </w:r>
    </w:p>
    <w:p w:rsidR="00373FF7" w:rsidRDefault="00035308" w:rsidP="00373FF7">
      <w:pPr>
        <w:pStyle w:val="Textoindependiente"/>
        <w:ind w:right="1"/>
        <w:jc w:val="center"/>
        <w:rPr>
          <w:b/>
          <w:bCs/>
          <w:szCs w:val="28"/>
        </w:rPr>
      </w:pPr>
      <w:r>
        <w:rPr>
          <w:b/>
          <w:bCs/>
          <w:szCs w:val="28"/>
        </w:rPr>
        <w:t>05</w:t>
      </w:r>
      <w:r w:rsidR="00373FF7">
        <w:rPr>
          <w:b/>
          <w:bCs/>
          <w:szCs w:val="28"/>
        </w:rPr>
        <w:t xml:space="preserve"> DE </w:t>
      </w:r>
      <w:r>
        <w:rPr>
          <w:b/>
          <w:bCs/>
          <w:szCs w:val="28"/>
        </w:rPr>
        <w:t>NOVIEM</w:t>
      </w:r>
      <w:r w:rsidR="00BA66CD">
        <w:rPr>
          <w:b/>
          <w:bCs/>
          <w:szCs w:val="28"/>
        </w:rPr>
        <w:t>BRE</w:t>
      </w:r>
      <w:r w:rsidR="00373FF7">
        <w:rPr>
          <w:b/>
          <w:bCs/>
          <w:szCs w:val="28"/>
        </w:rPr>
        <w:t xml:space="preserve"> DE 2019.</w:t>
      </w:r>
    </w:p>
    <w:p w:rsidR="00373FF7" w:rsidRPr="00621B63" w:rsidRDefault="00373FF7" w:rsidP="00373FF7">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35035452" wp14:editId="5BC6A4A1">
            <wp:extent cx="2347595" cy="826770"/>
            <wp:effectExtent l="0" t="0" r="0" b="0"/>
            <wp:docPr id="11"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6EA6A255" wp14:editId="09AE7BA9">
            <wp:extent cx="2857500" cy="1010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BA66CD" w:rsidP="00373FF7">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r w:rsidR="00373FF7" w:rsidRPr="00390561">
        <w:rPr>
          <w:rFonts w:ascii="Arial" w:eastAsia="Calibri" w:hAnsi="Arial" w:cs="Arial"/>
          <w:b/>
          <w:sz w:val="22"/>
          <w:szCs w:val="22"/>
          <w:lang w:val="es-MX" w:eastAsia="en-US"/>
        </w:rPr>
        <w:t>.</w:t>
      </w:r>
    </w:p>
    <w:p w:rsidR="00373FF7" w:rsidRDefault="00373FF7" w:rsidP="00373FF7">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05CAC1B6" wp14:editId="4E762940">
            <wp:extent cx="2533650" cy="990600"/>
            <wp:effectExtent l="0" t="0" r="0" b="0"/>
            <wp:docPr id="13"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BA66CD" w:rsidP="00F67981">
      <w:pPr>
        <w:spacing w:line="360" w:lineRule="auto"/>
        <w:jc w:val="center"/>
        <w:rPr>
          <w:b/>
          <w:bCs/>
        </w:rPr>
      </w:pPr>
      <w:r>
        <w:rPr>
          <w:rFonts w:ascii="Arial" w:eastAsia="Calibri" w:hAnsi="Arial" w:cs="Arial"/>
          <w:b/>
          <w:sz w:val="22"/>
          <w:szCs w:val="22"/>
          <w:lang w:val="es-MX" w:eastAsia="en-US"/>
        </w:rPr>
        <w:t>SECRETARIO</w:t>
      </w:r>
      <w:r w:rsidR="00373FF7" w:rsidRPr="00390561">
        <w:rPr>
          <w:rFonts w:ascii="Arial" w:eastAsia="Calibri" w:hAnsi="Arial" w:cs="Arial"/>
          <w:b/>
          <w:sz w:val="22"/>
          <w:szCs w:val="22"/>
          <w:lang w:val="es-MX" w:eastAsia="en-US"/>
        </w:rPr>
        <w:t>.</w:t>
      </w:r>
    </w:p>
    <w:p w:rsidR="00A85631" w:rsidRDefault="00A85631" w:rsidP="0033224D">
      <w:pPr>
        <w:pStyle w:val="Textoindependiente"/>
        <w:tabs>
          <w:tab w:val="left" w:pos="5954"/>
        </w:tabs>
        <w:ind w:right="1"/>
        <w:jc w:val="center"/>
        <w:rPr>
          <w:b/>
          <w:bCs/>
          <w:sz w:val="24"/>
        </w:rPr>
      </w:pPr>
    </w:p>
    <w:p w:rsidR="00BA66CD" w:rsidRDefault="00BA66CD" w:rsidP="00A85631">
      <w:pPr>
        <w:pStyle w:val="Textoindependiente"/>
        <w:ind w:right="1"/>
        <w:rPr>
          <w:b/>
          <w:bCs/>
          <w:szCs w:val="28"/>
        </w:rPr>
      </w:pPr>
    </w:p>
    <w:p w:rsidR="00BA66CD" w:rsidRDefault="00BA66CD" w:rsidP="00A85631">
      <w:pPr>
        <w:pStyle w:val="Textoindependiente"/>
        <w:ind w:right="1"/>
        <w:rPr>
          <w:b/>
          <w:bCs/>
          <w:szCs w:val="28"/>
        </w:rPr>
      </w:pPr>
    </w:p>
    <w:p w:rsidR="00BA66CD" w:rsidRDefault="00BA66CD" w:rsidP="00A85631">
      <w:pPr>
        <w:pStyle w:val="Textoindependiente"/>
        <w:ind w:right="1"/>
        <w:rPr>
          <w:b/>
          <w:bCs/>
          <w:szCs w:val="28"/>
        </w:rPr>
      </w:pPr>
    </w:p>
    <w:p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BA66CD">
        <w:rPr>
          <w:b/>
          <w:bCs/>
          <w:szCs w:val="28"/>
        </w:rPr>
        <w:t>I</w:t>
      </w:r>
      <w:r w:rsidR="00A85631">
        <w:rPr>
          <w:b/>
          <w:bCs/>
          <w:szCs w:val="28"/>
        </w:rPr>
        <w:t xml:space="preserve"> LEGISLATURA DEL CONGRESO DEL ESTADO, </w:t>
      </w:r>
      <w:r w:rsidR="00A85631" w:rsidRPr="001312B8">
        <w:rPr>
          <w:b/>
          <w:bCs/>
          <w:szCs w:val="28"/>
        </w:rPr>
        <w:t xml:space="preserve">EL DÍA </w:t>
      </w:r>
      <w:r w:rsidR="00035308">
        <w:rPr>
          <w:b/>
          <w:bCs/>
          <w:szCs w:val="28"/>
        </w:rPr>
        <w:t>05</w:t>
      </w:r>
      <w:r w:rsidR="00A40345">
        <w:rPr>
          <w:b/>
          <w:bCs/>
          <w:szCs w:val="28"/>
        </w:rPr>
        <w:t xml:space="preserve"> </w:t>
      </w:r>
      <w:r w:rsidR="00A85631" w:rsidRPr="001312B8">
        <w:rPr>
          <w:b/>
          <w:bCs/>
          <w:szCs w:val="28"/>
        </w:rPr>
        <w:t xml:space="preserve">DEL MES </w:t>
      </w:r>
      <w:r w:rsidR="002C785A">
        <w:rPr>
          <w:b/>
          <w:bCs/>
          <w:szCs w:val="28"/>
        </w:rPr>
        <w:t xml:space="preserve">DE </w:t>
      </w:r>
      <w:r w:rsidR="00035308">
        <w:rPr>
          <w:b/>
          <w:bCs/>
          <w:szCs w:val="28"/>
        </w:rPr>
        <w:t>NOVIEM</w:t>
      </w:r>
      <w:r w:rsidR="00BA66CD">
        <w:rPr>
          <w:b/>
          <w:bCs/>
          <w:szCs w:val="28"/>
        </w:rPr>
        <w:t>BRE</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035308">
        <w:rPr>
          <w:b/>
          <w:bCs/>
          <w:szCs w:val="28"/>
        </w:rPr>
        <w:t>05</w:t>
      </w:r>
      <w:r>
        <w:rPr>
          <w:b/>
          <w:bCs/>
          <w:szCs w:val="28"/>
        </w:rPr>
        <w:t xml:space="preserve"> de</w:t>
      </w:r>
      <w:r w:rsidR="00035308">
        <w:rPr>
          <w:b/>
          <w:bCs/>
          <w:szCs w:val="28"/>
        </w:rPr>
        <w:t xml:space="preserve"> noviembre</w:t>
      </w:r>
      <w:r w:rsidR="00A40345">
        <w:rPr>
          <w:b/>
          <w:bCs/>
          <w:szCs w:val="28"/>
        </w:rPr>
        <w:t xml:space="preserve"> </w:t>
      </w:r>
      <w:r>
        <w:rPr>
          <w:b/>
          <w:bCs/>
          <w:szCs w:val="28"/>
        </w:rPr>
        <w:t>de</w:t>
      </w:r>
      <w:r w:rsidR="00BA66CD">
        <w:rPr>
          <w:b/>
          <w:bCs/>
          <w:szCs w:val="28"/>
        </w:rPr>
        <w:t>l</w:t>
      </w:r>
      <w:r>
        <w:rPr>
          <w:b/>
          <w:bCs/>
          <w:szCs w:val="28"/>
        </w:rPr>
        <w:t xml:space="preserv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M.D. Rafael Delgado Hernández (Presidente), el Tesorero el Ing. Fernando </w:t>
      </w:r>
      <w:proofErr w:type="spellStart"/>
      <w:r w:rsidR="00A40345" w:rsidRPr="00A40345">
        <w:rPr>
          <w:b/>
          <w:bCs/>
          <w:szCs w:val="28"/>
        </w:rPr>
        <w:t>Oyervides</w:t>
      </w:r>
      <w:proofErr w:type="spellEnd"/>
      <w:r w:rsidR="00A40345" w:rsidRPr="00A40345">
        <w:rPr>
          <w:b/>
          <w:bCs/>
          <w:szCs w:val="28"/>
        </w:rPr>
        <w:t xml:space="preserve"> Thomas (</w:t>
      </w:r>
      <w:r w:rsidR="00BA66CD">
        <w:rPr>
          <w:b/>
          <w:bCs/>
          <w:szCs w:val="28"/>
        </w:rPr>
        <w:t>Vocal</w:t>
      </w:r>
      <w:r w:rsidR="00A40345" w:rsidRPr="00A40345">
        <w:rPr>
          <w:b/>
          <w:bCs/>
          <w:szCs w:val="28"/>
        </w:rPr>
        <w:t xml:space="preserve">) y Directora Jurídica Lic. Leticia </w:t>
      </w:r>
      <w:proofErr w:type="spellStart"/>
      <w:r w:rsidR="00A40345" w:rsidRPr="00A40345">
        <w:rPr>
          <w:b/>
          <w:bCs/>
          <w:szCs w:val="28"/>
        </w:rPr>
        <w:t>Nayelli</w:t>
      </w:r>
      <w:proofErr w:type="spellEnd"/>
      <w:r w:rsidR="00A40345" w:rsidRPr="00A40345">
        <w:rPr>
          <w:b/>
          <w:bCs/>
          <w:szCs w:val="28"/>
        </w:rPr>
        <w:t xml:space="preserve"> </w:t>
      </w:r>
      <w:proofErr w:type="spellStart"/>
      <w:r w:rsidR="00A40345" w:rsidRPr="00A40345">
        <w:rPr>
          <w:b/>
          <w:bCs/>
          <w:szCs w:val="28"/>
        </w:rPr>
        <w:t>Decanini</w:t>
      </w:r>
      <w:proofErr w:type="spellEnd"/>
      <w:r w:rsidR="00A40345" w:rsidRPr="00A40345">
        <w:rPr>
          <w:b/>
          <w:bCs/>
          <w:szCs w:val="28"/>
        </w:rPr>
        <w:t xml:space="preserve"> Salinas (</w:t>
      </w:r>
      <w:r w:rsidR="00BA66CD">
        <w:rPr>
          <w:b/>
          <w:bCs/>
          <w:szCs w:val="28"/>
        </w:rPr>
        <w:t>Secretario</w:t>
      </w:r>
      <w:r w:rsidR="00A40345" w:rsidRPr="00A40345">
        <w:rPr>
          <w:b/>
          <w:bCs/>
          <w:szCs w:val="28"/>
        </w:rPr>
        <w:t>)</w:t>
      </w:r>
      <w:r w:rsidR="00BA66CD">
        <w:rPr>
          <w:b/>
          <w:bCs/>
          <w:szCs w:val="28"/>
        </w:rPr>
        <w:t xml:space="preserve">. </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la clasificación de la información </w:t>
      </w:r>
      <w:r w:rsidR="00A40345">
        <w:rPr>
          <w:b/>
        </w:rPr>
        <w:t xml:space="preserve"> </w:t>
      </w:r>
      <w:r w:rsidR="002C785A" w:rsidRPr="00A376F9">
        <w:rPr>
          <w:b/>
        </w:rPr>
        <w:t xml:space="preserve">que realicen los titulares de las áreas de los sujetos obligados dentro de la solicitud de Información con No. de folio </w:t>
      </w:r>
      <w:r w:rsidR="00A40345">
        <w:rPr>
          <w:b/>
        </w:rPr>
        <w:t>0</w:t>
      </w:r>
      <w:r w:rsidR="00BA66CD">
        <w:rPr>
          <w:b/>
        </w:rPr>
        <w:t>11</w:t>
      </w:r>
      <w:r w:rsidR="00035308">
        <w:rPr>
          <w:b/>
        </w:rPr>
        <w:t>45</w:t>
      </w:r>
      <w:r w:rsidR="00BA66CD">
        <w:rPr>
          <w:b/>
        </w:rPr>
        <w:t>9</w:t>
      </w:r>
      <w:r w:rsidR="001310CD">
        <w:rPr>
          <w:b/>
        </w:rPr>
        <w:t>19</w:t>
      </w:r>
      <w:r w:rsidR="002C785A" w:rsidRPr="00A376F9">
        <w:rPr>
          <w:b/>
        </w:rPr>
        <w:t xml:space="preserve">, </w:t>
      </w:r>
      <w:r w:rsidR="002C785A" w:rsidRPr="00A376F9">
        <w:rPr>
          <w:b/>
        </w:rPr>
        <w:lastRenderedPageBreak/>
        <w:t xml:space="preserve">planteada por </w:t>
      </w:r>
      <w:r w:rsidR="00A40345">
        <w:rPr>
          <w:b/>
        </w:rPr>
        <w:t>l</w:t>
      </w:r>
      <w:r w:rsidR="00BA66CD">
        <w:rPr>
          <w:b/>
        </w:rPr>
        <w:t>a</w:t>
      </w:r>
      <w:r w:rsidR="00A40345">
        <w:rPr>
          <w:b/>
        </w:rPr>
        <w:t xml:space="preserve"> </w:t>
      </w:r>
      <w:r w:rsidR="00B20C5C">
        <w:rPr>
          <w:b/>
        </w:rPr>
        <w:t>C.</w:t>
      </w:r>
      <w:r w:rsidR="00BA66CD">
        <w:rPr>
          <w:b/>
        </w:rPr>
        <w:t xml:space="preserve"> </w:t>
      </w:r>
      <w:r w:rsidR="00035308">
        <w:rPr>
          <w:b/>
        </w:rPr>
        <w:t>David Espinoza</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661445" w:rsidRDefault="006614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la clasificación de la información </w:t>
      </w:r>
      <w:r w:rsidR="00614A92">
        <w:rPr>
          <w:b/>
          <w:bCs/>
          <w:szCs w:val="28"/>
        </w:rPr>
        <w:t>de la Declaración de información</w:t>
      </w:r>
      <w:r w:rsidR="00B20C5C">
        <w:rPr>
          <w:b/>
          <w:bCs/>
          <w:szCs w:val="28"/>
        </w:rPr>
        <w:t xml:space="preserve"> </w:t>
      </w:r>
      <w:r w:rsidR="00A40345">
        <w:rPr>
          <w:b/>
          <w:bCs/>
          <w:szCs w:val="28"/>
        </w:rPr>
        <w:t xml:space="preserve">parcial reservada </w:t>
      </w:r>
      <w:r w:rsidR="00614A92">
        <w:rPr>
          <w:b/>
          <w:bCs/>
          <w:szCs w:val="28"/>
        </w:rPr>
        <w:t xml:space="preserve">de la solicitud </w:t>
      </w:r>
      <w:r w:rsidR="00614A92" w:rsidRPr="00A376F9">
        <w:rPr>
          <w:b/>
        </w:rPr>
        <w:t xml:space="preserve">No. de folio </w:t>
      </w:r>
      <w:r w:rsidR="00A40345">
        <w:rPr>
          <w:b/>
        </w:rPr>
        <w:t>0</w:t>
      </w:r>
      <w:r w:rsidR="00BA66CD">
        <w:rPr>
          <w:b/>
        </w:rPr>
        <w:t>11</w:t>
      </w:r>
      <w:r w:rsidR="00035308">
        <w:rPr>
          <w:b/>
        </w:rPr>
        <w:t>45</w:t>
      </w:r>
      <w:r w:rsidR="00BA66CD">
        <w:rPr>
          <w:b/>
        </w:rPr>
        <w:t>9</w:t>
      </w:r>
      <w:r w:rsidR="001310CD">
        <w:rPr>
          <w:b/>
        </w:rPr>
        <w:t>19</w:t>
      </w:r>
      <w:r w:rsidR="00614A92">
        <w:rPr>
          <w:b/>
          <w:bCs/>
          <w:szCs w:val="28"/>
        </w:rPr>
        <w:t xml:space="preserve"> 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lastRenderedPageBreak/>
        <w:t>D</w:t>
      </w:r>
      <w:r w:rsidR="00A85631">
        <w:rPr>
          <w:b/>
          <w:bCs/>
          <w:szCs w:val="28"/>
        </w:rPr>
        <w:t xml:space="preserve">espués de breves comentarios realizados por los integrantes del Comité y de manifestar </w:t>
      </w:r>
      <w:r>
        <w:rPr>
          <w:b/>
          <w:bCs/>
          <w:szCs w:val="28"/>
        </w:rPr>
        <w:t xml:space="preserve">lo sometieron a su clasificación, votación y declaran por unanimidad de votos la  </w:t>
      </w:r>
      <w:r w:rsidR="00EF0488">
        <w:rPr>
          <w:b/>
          <w:bCs/>
          <w:szCs w:val="28"/>
        </w:rPr>
        <w:t xml:space="preserve">reserva </w:t>
      </w:r>
      <w:r>
        <w:rPr>
          <w:b/>
          <w:bCs/>
          <w:szCs w:val="28"/>
        </w:rPr>
        <w:t>de la información de la solicitud 0</w:t>
      </w:r>
      <w:r w:rsidR="00BA66CD">
        <w:rPr>
          <w:b/>
          <w:bCs/>
          <w:szCs w:val="28"/>
        </w:rPr>
        <w:t>11</w:t>
      </w:r>
      <w:r w:rsidR="00035308">
        <w:rPr>
          <w:b/>
          <w:bCs/>
          <w:szCs w:val="28"/>
        </w:rPr>
        <w:t>45</w:t>
      </w:r>
      <w:r w:rsidR="00BA66CD">
        <w:rPr>
          <w:b/>
          <w:bCs/>
          <w:szCs w:val="28"/>
        </w:rPr>
        <w:t>919</w:t>
      </w:r>
      <w:r>
        <w:rPr>
          <w:b/>
          <w:bCs/>
          <w:szCs w:val="28"/>
        </w:rPr>
        <w:t xml:space="preserve"> al encuadrar en la hipótesis prevista en el  artículo </w:t>
      </w:r>
      <w:r w:rsidR="004E4CB8">
        <w:rPr>
          <w:b/>
          <w:bCs/>
          <w:szCs w:val="28"/>
        </w:rPr>
        <w:t>6</w:t>
      </w:r>
      <w:r w:rsidR="00EF0488">
        <w:rPr>
          <w:b/>
          <w:bCs/>
          <w:szCs w:val="28"/>
        </w:rPr>
        <w:t xml:space="preserve">5 fracción I, 88 fracción II y 60 fracción I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Pr="001312B8"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10:</w:t>
      </w:r>
      <w:r w:rsidR="00035308">
        <w:rPr>
          <w:b/>
          <w:bCs/>
          <w:szCs w:val="28"/>
        </w:rPr>
        <w:t>31</w:t>
      </w:r>
      <w:r w:rsidR="00A85631">
        <w:rPr>
          <w:b/>
          <w:bCs/>
          <w:szCs w:val="28"/>
        </w:rPr>
        <w:t xml:space="preserve"> horas del día inicialmente señalado, se dio por concluida esta reunión.</w:t>
      </w: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035308">
        <w:rPr>
          <w:b/>
          <w:bCs/>
          <w:szCs w:val="28"/>
        </w:rPr>
        <w:t>05</w:t>
      </w:r>
      <w:r w:rsidR="004E4CB8">
        <w:rPr>
          <w:b/>
          <w:bCs/>
          <w:szCs w:val="28"/>
        </w:rPr>
        <w:t xml:space="preserve"> </w:t>
      </w:r>
      <w:r w:rsidRPr="002739FE">
        <w:rPr>
          <w:b/>
          <w:bCs/>
          <w:szCs w:val="28"/>
        </w:rPr>
        <w:t>DE</w:t>
      </w:r>
      <w:r w:rsidR="0000764B">
        <w:rPr>
          <w:b/>
          <w:bCs/>
          <w:szCs w:val="28"/>
        </w:rPr>
        <w:t xml:space="preserve"> </w:t>
      </w:r>
      <w:r w:rsidR="00035308">
        <w:rPr>
          <w:b/>
          <w:bCs/>
          <w:szCs w:val="28"/>
        </w:rPr>
        <w:t>NOVIEM</w:t>
      </w:r>
      <w:r w:rsidR="00BA66CD">
        <w:rPr>
          <w:b/>
          <w:bCs/>
          <w:szCs w:val="28"/>
        </w:rPr>
        <w:t>BRE</w:t>
      </w:r>
      <w:r w:rsidR="00EF0488">
        <w:rPr>
          <w:b/>
          <w:bCs/>
          <w:szCs w:val="28"/>
        </w:rPr>
        <w:t xml:space="preserve"> DEL 2019</w:t>
      </w:r>
      <w:r w:rsidRPr="002739FE">
        <w:rPr>
          <w:b/>
          <w:bCs/>
          <w:szCs w:val="28"/>
        </w:rPr>
        <w:t>.</w:t>
      </w:r>
    </w:p>
    <w:p w:rsidR="00EF0488" w:rsidRPr="00621B63" w:rsidRDefault="00EF0488" w:rsidP="00EF048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3359C4" wp14:editId="4D0771DE">
            <wp:extent cx="2347595" cy="826770"/>
            <wp:effectExtent l="0" t="0" r="0" b="0"/>
            <wp:docPr id="14"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31A83E4C" wp14:editId="1E6ABA03">
            <wp:extent cx="2857500" cy="78519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649" cy="786056"/>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EF0488" w:rsidRPr="00390561" w:rsidRDefault="00BA66CD" w:rsidP="00EF048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p>
    <w:p w:rsidR="00EF0488" w:rsidRDefault="00EF0488" w:rsidP="00EF048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7F6EB4BE" wp14:editId="5518CAF1">
            <wp:extent cx="2533650" cy="705678"/>
            <wp:effectExtent l="0" t="0" r="0" b="0"/>
            <wp:docPr id="16"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890" cy="707695"/>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BA66CD" w:rsidP="00EF048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SECRETARIO</w:t>
      </w: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035308">
        <w:rPr>
          <w:color w:val="auto"/>
          <w:sz w:val="22"/>
          <w:szCs w:val="22"/>
        </w:rPr>
        <w:t>05</w:t>
      </w:r>
      <w:r w:rsidRPr="00611141">
        <w:rPr>
          <w:color w:val="auto"/>
          <w:sz w:val="22"/>
          <w:szCs w:val="22"/>
        </w:rPr>
        <w:t xml:space="preserve">  DE </w:t>
      </w:r>
      <w:r w:rsidR="00035308">
        <w:rPr>
          <w:color w:val="auto"/>
          <w:sz w:val="22"/>
          <w:szCs w:val="22"/>
        </w:rPr>
        <w:t>NOVIEMBRE</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 -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021DBF">
        <w:rPr>
          <w:color w:val="auto"/>
          <w:sz w:val="22"/>
          <w:szCs w:val="22"/>
        </w:rPr>
        <w:t xml:space="preserve"> </w:t>
      </w:r>
      <w:r w:rsidR="00EF0488">
        <w:rPr>
          <w:color w:val="auto"/>
          <w:sz w:val="22"/>
          <w:szCs w:val="22"/>
        </w:rPr>
        <w:t>0</w:t>
      </w:r>
      <w:r w:rsidR="00BA66CD">
        <w:rPr>
          <w:color w:val="auto"/>
          <w:sz w:val="22"/>
          <w:szCs w:val="22"/>
        </w:rPr>
        <w:t>11</w:t>
      </w:r>
      <w:r w:rsidR="00035308">
        <w:rPr>
          <w:color w:val="auto"/>
          <w:sz w:val="22"/>
          <w:szCs w:val="22"/>
        </w:rPr>
        <w:t>45</w:t>
      </w:r>
      <w:r w:rsidR="001310CD">
        <w:rPr>
          <w:color w:val="auto"/>
          <w:sz w:val="22"/>
          <w:szCs w:val="22"/>
        </w:rPr>
        <w:t>919</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BA66CD">
        <w:rPr>
          <w:rFonts w:ascii="Arial" w:hAnsi="Arial" w:cs="Arial"/>
        </w:rPr>
        <w:t>2</w:t>
      </w:r>
      <w:r w:rsidR="00035308">
        <w:rPr>
          <w:rFonts w:ascii="Arial" w:hAnsi="Arial" w:cs="Arial"/>
        </w:rPr>
        <w:t>4</w:t>
      </w:r>
      <w:r w:rsidR="00FE1A32">
        <w:rPr>
          <w:rFonts w:ascii="Arial" w:hAnsi="Arial" w:cs="Arial"/>
        </w:rPr>
        <w:t xml:space="preserve"> </w:t>
      </w:r>
      <w:r>
        <w:rPr>
          <w:rFonts w:ascii="Arial" w:hAnsi="Arial" w:cs="Arial"/>
        </w:rPr>
        <w:t xml:space="preserve">de </w:t>
      </w:r>
      <w:r w:rsidR="00BA66CD">
        <w:rPr>
          <w:rFonts w:ascii="Arial" w:hAnsi="Arial" w:cs="Arial"/>
        </w:rPr>
        <w:t>octubre</w:t>
      </w:r>
      <w:r w:rsidR="001310CD">
        <w:rPr>
          <w:rFonts w:ascii="Arial" w:hAnsi="Arial" w:cs="Arial"/>
        </w:rPr>
        <w:t xml:space="preserve"> </w:t>
      </w:r>
      <w:r>
        <w:rPr>
          <w:rFonts w:ascii="Arial" w:hAnsi="Arial" w:cs="Arial"/>
        </w:rPr>
        <w:t>del 201</w:t>
      </w:r>
      <w:r w:rsidR="00EF0488">
        <w:rPr>
          <w:rFonts w:ascii="Arial" w:hAnsi="Arial" w:cs="Arial"/>
        </w:rPr>
        <w:t>9</w:t>
      </w:r>
      <w:r>
        <w:rPr>
          <w:rFonts w:ascii="Arial" w:hAnsi="Arial" w:cs="Arial"/>
        </w:rPr>
        <w:t xml:space="preserve">, a través de </w:t>
      </w:r>
      <w:r w:rsidR="001310CD">
        <w:rPr>
          <w:rFonts w:ascii="Arial" w:hAnsi="Arial" w:cs="Arial"/>
        </w:rPr>
        <w:t>solicitud de acceso a la información No. 0</w:t>
      </w:r>
      <w:r w:rsidR="00BA66CD">
        <w:rPr>
          <w:rFonts w:ascii="Arial" w:hAnsi="Arial" w:cs="Arial"/>
        </w:rPr>
        <w:t>11</w:t>
      </w:r>
      <w:r w:rsidR="00035308">
        <w:rPr>
          <w:rFonts w:ascii="Arial" w:hAnsi="Arial" w:cs="Arial"/>
        </w:rPr>
        <w:t>45</w:t>
      </w:r>
      <w:r w:rsidR="00BA66CD">
        <w:rPr>
          <w:rFonts w:ascii="Arial" w:hAnsi="Arial" w:cs="Arial"/>
        </w:rPr>
        <w:t>919</w:t>
      </w:r>
      <w:r>
        <w:rPr>
          <w:rFonts w:ascii="Arial" w:hAnsi="Arial" w:cs="Arial"/>
        </w:rPr>
        <w:t xml:space="preserve">, se requirió </w:t>
      </w:r>
      <w:r w:rsidR="001310CD">
        <w:rPr>
          <w:rFonts w:ascii="Arial" w:hAnsi="Arial" w:cs="Arial"/>
        </w:rPr>
        <w:t>lo siguiente</w:t>
      </w:r>
      <w:r>
        <w:rPr>
          <w:rFonts w:ascii="Arial" w:hAnsi="Arial" w:cs="Arial"/>
        </w:rPr>
        <w:t>:</w:t>
      </w:r>
    </w:p>
    <w:p w:rsidR="001310CD" w:rsidRDefault="001310CD" w:rsidP="00611141">
      <w:pPr>
        <w:spacing w:line="360" w:lineRule="auto"/>
        <w:jc w:val="both"/>
        <w:rPr>
          <w:rFonts w:ascii="Arial" w:hAnsi="Arial" w:cs="Arial"/>
        </w:rPr>
      </w:pPr>
    </w:p>
    <w:p w:rsidR="00035308" w:rsidRPr="00F96E87" w:rsidRDefault="00035308" w:rsidP="00035308">
      <w:pPr>
        <w:autoSpaceDE w:val="0"/>
        <w:autoSpaceDN w:val="0"/>
        <w:adjustRightInd w:val="0"/>
        <w:ind w:left="426" w:right="425"/>
        <w:jc w:val="both"/>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Pr="00F96E87">
        <w:rPr>
          <w:rFonts w:ascii="Arial" w:eastAsia="Calibri" w:hAnsi="Arial" w:cs="Arial"/>
          <w:b/>
          <w:i/>
          <w:sz w:val="20"/>
          <w:szCs w:val="20"/>
          <w:lang w:val="es-MX" w:eastAsia="es-MX"/>
        </w:rPr>
        <w:t xml:space="preserve">Como referencia de la publicación del periódico Vanguardia del día 22 de abril del 2019, titulada Pagó Legislativo de Coahuila 11.8 </w:t>
      </w:r>
      <w:proofErr w:type="spellStart"/>
      <w:r w:rsidRPr="00F96E87">
        <w:rPr>
          <w:rFonts w:ascii="Arial" w:eastAsia="Calibri" w:hAnsi="Arial" w:cs="Arial"/>
          <w:b/>
          <w:i/>
          <w:sz w:val="20"/>
          <w:szCs w:val="20"/>
          <w:lang w:val="es-MX" w:eastAsia="es-MX"/>
        </w:rPr>
        <w:t>mdp</w:t>
      </w:r>
      <w:proofErr w:type="spellEnd"/>
      <w:r w:rsidRPr="00F96E87">
        <w:rPr>
          <w:rFonts w:ascii="Arial" w:eastAsia="Calibri" w:hAnsi="Arial" w:cs="Arial"/>
          <w:b/>
          <w:i/>
          <w:sz w:val="20"/>
          <w:szCs w:val="20"/>
          <w:lang w:val="es-MX" w:eastAsia="es-MX"/>
        </w:rPr>
        <w:t xml:space="preserve"> por digitalizar documentos. (https//vanguardia.com.mx/articulo/pago-legislativo-de-coahuila-118-mdp por-digitalizar-documentos) </w:t>
      </w:r>
    </w:p>
    <w:p w:rsidR="00035308" w:rsidRPr="00035308" w:rsidRDefault="00035308" w:rsidP="00035308">
      <w:pPr>
        <w:autoSpaceDE w:val="0"/>
        <w:autoSpaceDN w:val="0"/>
        <w:adjustRightInd w:val="0"/>
        <w:ind w:left="426" w:right="425"/>
        <w:jc w:val="both"/>
        <w:rPr>
          <w:rFonts w:ascii="Arial" w:eastAsia="Calibri" w:hAnsi="Arial" w:cs="Arial"/>
          <w:b/>
          <w:i/>
          <w:sz w:val="20"/>
          <w:szCs w:val="20"/>
          <w:lang w:val="es-MX" w:eastAsia="es-MX"/>
        </w:rPr>
      </w:pPr>
      <w:r w:rsidRPr="00035308">
        <w:rPr>
          <w:rFonts w:ascii="Arial" w:eastAsia="Calibri" w:hAnsi="Arial" w:cs="Arial"/>
          <w:b/>
          <w:i/>
          <w:sz w:val="20"/>
          <w:szCs w:val="20"/>
          <w:lang w:val="es-MX" w:eastAsia="es-MX"/>
        </w:rPr>
        <w:t>Requiero</w:t>
      </w:r>
    </w:p>
    <w:p w:rsidR="00035308" w:rsidRPr="00035308" w:rsidRDefault="00035308" w:rsidP="00035308">
      <w:pPr>
        <w:autoSpaceDE w:val="0"/>
        <w:autoSpaceDN w:val="0"/>
        <w:adjustRightInd w:val="0"/>
        <w:ind w:left="426" w:right="425"/>
        <w:jc w:val="both"/>
        <w:rPr>
          <w:rFonts w:ascii="Arial" w:eastAsia="Calibri" w:hAnsi="Arial" w:cs="Arial"/>
          <w:b/>
          <w:i/>
          <w:sz w:val="20"/>
          <w:szCs w:val="20"/>
          <w:lang w:val="es-MX" w:eastAsia="es-MX"/>
        </w:rPr>
      </w:pPr>
      <w:r w:rsidRPr="00035308">
        <w:rPr>
          <w:rFonts w:ascii="Arial" w:eastAsia="Calibri" w:hAnsi="Arial" w:cs="Arial"/>
          <w:b/>
          <w:i/>
          <w:sz w:val="20"/>
          <w:szCs w:val="20"/>
          <w:lang w:val="es-MX" w:eastAsia="es-MX"/>
        </w:rPr>
        <w:t>El contrato correspondiente a la licitación pública que se refiere a la digitalización del archivo histórico publicado en la nota periodística.</w:t>
      </w:r>
    </w:p>
    <w:p w:rsidR="00035308" w:rsidRPr="00035308" w:rsidRDefault="00035308" w:rsidP="00035308">
      <w:pPr>
        <w:autoSpaceDE w:val="0"/>
        <w:autoSpaceDN w:val="0"/>
        <w:adjustRightInd w:val="0"/>
        <w:ind w:left="426" w:right="425"/>
        <w:jc w:val="both"/>
        <w:rPr>
          <w:rFonts w:ascii="Arial" w:eastAsia="Calibri" w:hAnsi="Arial" w:cs="Arial"/>
          <w:b/>
          <w:i/>
          <w:sz w:val="20"/>
          <w:szCs w:val="20"/>
          <w:lang w:val="es-MX" w:eastAsia="es-MX"/>
        </w:rPr>
      </w:pPr>
      <w:r w:rsidRPr="00035308">
        <w:rPr>
          <w:rFonts w:ascii="Arial" w:eastAsia="Calibri" w:hAnsi="Arial" w:cs="Arial"/>
          <w:b/>
          <w:i/>
          <w:sz w:val="20"/>
          <w:szCs w:val="20"/>
          <w:lang w:val="es-MX" w:eastAsia="es-MX"/>
        </w:rPr>
        <w:t>Describa cómo hacer la consulta vía web al acervo digitalizado (específicamente del archivo histórico, y no al referente al apartado de Trabajo Legislativo que aparece en el portal del Congreso.”</w:t>
      </w:r>
      <w:r>
        <w:rPr>
          <w:rFonts w:ascii="Arial" w:eastAsia="Calibri" w:hAnsi="Arial" w:cs="Arial"/>
          <w:b/>
          <w:i/>
          <w:sz w:val="20"/>
          <w:szCs w:val="20"/>
          <w:lang w:val="es-MX" w:eastAsia="es-MX"/>
        </w:rPr>
        <w:t xml:space="preserve"> Sic</w:t>
      </w:r>
    </w:p>
    <w:p w:rsidR="00035308" w:rsidRDefault="00035308" w:rsidP="00BA66CD">
      <w:pPr>
        <w:autoSpaceDE w:val="0"/>
        <w:autoSpaceDN w:val="0"/>
        <w:adjustRightInd w:val="0"/>
        <w:ind w:left="567" w:right="-284"/>
        <w:rPr>
          <w:rFonts w:ascii="Arial" w:eastAsia="Calibri" w:hAnsi="Arial" w:cs="Arial"/>
          <w:b/>
          <w:i/>
          <w:sz w:val="20"/>
          <w:szCs w:val="20"/>
          <w:lang w:val="es-MX" w:eastAsia="es-MX"/>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 xml:space="preserve">la solicitud de acceso a la información  </w:t>
      </w:r>
      <w:r w:rsidR="00A046B8">
        <w:rPr>
          <w:rFonts w:ascii="Arial" w:hAnsi="Arial" w:cs="Arial"/>
        </w:rPr>
        <w:t>se</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035308">
        <w:rPr>
          <w:rFonts w:ascii="Arial" w:hAnsi="Arial"/>
          <w:bCs/>
        </w:rPr>
        <w:t>04</w:t>
      </w:r>
      <w:r>
        <w:rPr>
          <w:rFonts w:ascii="Arial" w:hAnsi="Arial"/>
          <w:bCs/>
        </w:rPr>
        <w:t xml:space="preserve"> de </w:t>
      </w:r>
      <w:r w:rsidR="00035308">
        <w:rPr>
          <w:rFonts w:ascii="Arial" w:hAnsi="Arial"/>
          <w:bCs/>
        </w:rPr>
        <w:t xml:space="preserve">noviembre </w:t>
      </w:r>
      <w:r>
        <w:rPr>
          <w:rFonts w:ascii="Arial" w:hAnsi="Arial"/>
          <w:bCs/>
        </w:rPr>
        <w:t>del 201</w:t>
      </w:r>
      <w:r w:rsidR="00A046B8">
        <w:rPr>
          <w:rFonts w:ascii="Arial" w:hAnsi="Arial"/>
          <w:bCs/>
        </w:rPr>
        <w:t>9</w:t>
      </w:r>
      <w:r>
        <w:rPr>
          <w:rFonts w:ascii="Arial" w:hAnsi="Arial"/>
          <w:bCs/>
        </w:rPr>
        <w:t>, remitió su respuesta que en su parte sustantiva</w:t>
      </w:r>
      <w:r w:rsidR="00A046B8">
        <w:rPr>
          <w:rFonts w:ascii="Arial" w:hAnsi="Arial"/>
          <w:bCs/>
        </w:rPr>
        <w:t xml:space="preserve"> a la declaración de reserva,</w:t>
      </w:r>
      <w:r>
        <w:rPr>
          <w:rFonts w:ascii="Arial" w:hAnsi="Arial"/>
          <w:bCs/>
        </w:rPr>
        <w:t xml:space="preserve"> señalo lo siguiente:</w:t>
      </w:r>
    </w:p>
    <w:p w:rsidR="001310CD" w:rsidRDefault="001310CD" w:rsidP="00611141">
      <w:pPr>
        <w:spacing w:line="360" w:lineRule="auto"/>
        <w:ind w:firstLine="708"/>
        <w:jc w:val="both"/>
        <w:rPr>
          <w:rFonts w:ascii="Arial" w:hAnsi="Arial"/>
          <w:bCs/>
        </w:rPr>
      </w:pPr>
    </w:p>
    <w:p w:rsidR="00035308" w:rsidRPr="00035308" w:rsidRDefault="0040790C" w:rsidP="00035308">
      <w:pPr>
        <w:spacing w:after="200" w:line="276" w:lineRule="auto"/>
        <w:ind w:left="567" w:right="-284"/>
        <w:jc w:val="both"/>
        <w:rPr>
          <w:rFonts w:ascii="Arial Narrow" w:eastAsia="Calibri" w:hAnsi="Arial Narrow" w:cs="Arial"/>
          <w:i/>
          <w:color w:val="000000"/>
          <w:sz w:val="20"/>
          <w:szCs w:val="20"/>
          <w:lang w:val="es-MX" w:eastAsia="en-US"/>
        </w:rPr>
      </w:pPr>
      <w:r w:rsidRPr="00EA5B6A">
        <w:rPr>
          <w:rFonts w:ascii="Arial Narrow" w:eastAsia="Calibri" w:hAnsi="Arial Narrow" w:cs="Arial"/>
          <w:i/>
          <w:color w:val="000000"/>
          <w:sz w:val="20"/>
          <w:szCs w:val="20"/>
          <w:lang w:val="es-MX" w:eastAsia="en-US"/>
        </w:rPr>
        <w:lastRenderedPageBreak/>
        <w:t>“</w:t>
      </w:r>
      <w:r w:rsidR="00035308" w:rsidRPr="00035308">
        <w:rPr>
          <w:rFonts w:ascii="Arial Narrow" w:eastAsia="Calibri" w:hAnsi="Arial Narrow" w:cs="Arial"/>
          <w:i/>
          <w:color w:val="000000"/>
          <w:sz w:val="20"/>
          <w:szCs w:val="20"/>
          <w:lang w:val="es-MX" w:eastAsia="en-US"/>
        </w:rPr>
        <w:t xml:space="preserve">Por lo que visto lo anterior se hace del conocimiento que este Congreso, tiene bajo su resguardo la información relativa al documento señalado (contrato) misma que forma parte de la documentación necesaria para el proceso de Fiscalización 2019, correspondiente al Avance de Gestión Financiera del Segundo Trimestre 2019. </w:t>
      </w:r>
    </w:p>
    <w:p w:rsidR="00035308" w:rsidRPr="00035308" w:rsidRDefault="00035308" w:rsidP="00035308">
      <w:pPr>
        <w:spacing w:after="200" w:line="276" w:lineRule="auto"/>
        <w:ind w:left="567" w:right="-284"/>
        <w:jc w:val="both"/>
        <w:rPr>
          <w:rFonts w:ascii="Arial Narrow" w:eastAsia="Calibri" w:hAnsi="Arial Narrow" w:cs="Arial"/>
          <w:i/>
          <w:color w:val="000000"/>
          <w:sz w:val="20"/>
          <w:szCs w:val="20"/>
          <w:lang w:val="es-MX" w:eastAsia="en-US"/>
        </w:rPr>
      </w:pPr>
      <w:r w:rsidRPr="00035308">
        <w:rPr>
          <w:rFonts w:ascii="Arial Narrow" w:eastAsia="Calibri" w:hAnsi="Arial Narrow" w:cs="Arial"/>
          <w:i/>
          <w:color w:val="000000"/>
          <w:sz w:val="20"/>
          <w:szCs w:val="20"/>
          <w:lang w:val="es-MX" w:eastAsia="en-US"/>
        </w:rPr>
        <w:t>A).-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Superior del Estado de Coahuila de Zaragoza. Actualmente este proceso administrativo y de fiscalización todavía no concluye (e incluso se precisa que acaba de iniciar con forme lo marca la normativa) al encontrarse en revisión y fiscalización todos y cada uno de los documentos de la cuenta pública del ejercicio fiscal 2019 (segundo trimestre), documento final por parte de las autoridades superiores  de este Congreso Coahuila y falta la firma de la partes que en ella interviene y del órgano de fiscalización estatal.</w:t>
      </w:r>
    </w:p>
    <w:p w:rsidR="00035308" w:rsidRPr="00035308" w:rsidRDefault="00035308" w:rsidP="00035308">
      <w:pPr>
        <w:spacing w:after="200" w:line="276" w:lineRule="auto"/>
        <w:ind w:left="567" w:right="-284"/>
        <w:jc w:val="both"/>
        <w:rPr>
          <w:rFonts w:ascii="Arial Narrow" w:eastAsia="Calibri" w:hAnsi="Arial Narrow" w:cs="Arial"/>
          <w:i/>
          <w:color w:val="000000"/>
          <w:sz w:val="20"/>
          <w:szCs w:val="20"/>
          <w:lang w:val="es-MX" w:eastAsia="en-US"/>
        </w:rPr>
      </w:pPr>
      <w:r w:rsidRPr="00035308">
        <w:rPr>
          <w:rFonts w:ascii="Arial Narrow" w:eastAsia="Calibri" w:hAnsi="Arial Narrow" w:cs="Arial"/>
          <w:i/>
          <w:color w:val="000000"/>
          <w:sz w:val="20"/>
          <w:szCs w:val="20"/>
          <w:lang w:val="es-MX" w:eastAsia="en-US"/>
        </w:rPr>
        <w:t xml:space="preserve">B).- Con base a lo anterior, </w:t>
      </w:r>
      <w:r w:rsidRPr="00035308">
        <w:rPr>
          <w:rFonts w:ascii="Arial Narrow" w:eastAsia="Calibri" w:hAnsi="Arial Narrow" w:cs="Arial"/>
          <w:b/>
          <w:i/>
          <w:color w:val="000000"/>
          <w:sz w:val="20"/>
          <w:szCs w:val="20"/>
          <w:u w:val="single"/>
          <w:lang w:val="es-MX" w:eastAsia="en-US"/>
        </w:rPr>
        <w:t>se solicita al comité de Acceso a la Información de este Congreso, se reserve la información solicitada toda vez que no ha concluido el proceso administrativo de la auditoria;</w:t>
      </w:r>
      <w:r w:rsidRPr="00035308">
        <w:rPr>
          <w:rFonts w:ascii="Arial Narrow" w:eastAsia="Calibri" w:hAnsi="Arial Narrow" w:cs="Arial"/>
          <w:i/>
          <w:color w:val="000000"/>
          <w:sz w:val="20"/>
          <w:szCs w:val="20"/>
          <w:lang w:val="es-MX" w:eastAsia="en-US"/>
        </w:rPr>
        <w:t xml:space="preserve">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035308" w:rsidRPr="00035308" w:rsidRDefault="00035308" w:rsidP="00035308">
      <w:pPr>
        <w:spacing w:after="200" w:line="276" w:lineRule="auto"/>
        <w:ind w:left="567" w:right="-284"/>
        <w:jc w:val="both"/>
        <w:rPr>
          <w:rFonts w:ascii="Arial Narrow" w:eastAsia="Calibri" w:hAnsi="Arial Narrow" w:cs="Arial"/>
          <w:i/>
          <w:color w:val="000000"/>
          <w:sz w:val="20"/>
          <w:szCs w:val="20"/>
          <w:lang w:val="es-MX" w:eastAsia="en-US"/>
        </w:rPr>
      </w:pPr>
      <w:r w:rsidRPr="00035308">
        <w:rPr>
          <w:rFonts w:ascii="Arial Narrow" w:eastAsia="Calibri" w:hAnsi="Arial Narrow" w:cs="Arial"/>
          <w:i/>
          <w:color w:val="000000"/>
          <w:sz w:val="20"/>
          <w:szCs w:val="20"/>
          <w:lang w:val="es-MX" w:eastAsia="en-US"/>
        </w:rPr>
        <w:t xml:space="preserve">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2019 y Segundo Avance de Gestión Financiera, los documento se pondrán a su disposición en los medios oficiales. </w:t>
      </w:r>
    </w:p>
    <w:p w:rsidR="00A046B8" w:rsidRPr="00EA5B6A" w:rsidRDefault="00035308" w:rsidP="00035308">
      <w:pPr>
        <w:spacing w:after="200" w:line="276" w:lineRule="auto"/>
        <w:ind w:left="567" w:right="-284"/>
        <w:jc w:val="both"/>
        <w:rPr>
          <w:rFonts w:ascii="Candara" w:eastAsia="Calibri" w:hAnsi="Candara"/>
          <w:i/>
          <w:sz w:val="20"/>
          <w:szCs w:val="20"/>
          <w:lang w:eastAsia="en-US"/>
        </w:rPr>
      </w:pPr>
      <w:r w:rsidRPr="00035308">
        <w:rPr>
          <w:rFonts w:ascii="Arial Narrow" w:eastAsia="Calibri" w:hAnsi="Arial Narrow" w:cs="Arial"/>
          <w:i/>
          <w:color w:val="000000"/>
          <w:sz w:val="20"/>
          <w:szCs w:val="20"/>
          <w:lang w:val="es-MX" w:eastAsia="en-US"/>
        </w:rPr>
        <w:t>Lo anterior con base en lo establecido en el artículo 60 de la Ley de Acceso a la Información Pública Para el Estado de Coahuila de Zaragoza, cuyo texto de ley señala:</w:t>
      </w:r>
      <w:r>
        <w:rPr>
          <w:rFonts w:ascii="Arial Narrow" w:eastAsia="Calibri" w:hAnsi="Arial Narrow" w:cs="Arial"/>
          <w:i/>
          <w:color w:val="000000"/>
          <w:sz w:val="20"/>
          <w:szCs w:val="20"/>
          <w:lang w:val="es-MX" w:eastAsia="en-US"/>
        </w:rPr>
        <w:t xml:space="preserve">” </w:t>
      </w:r>
      <w:r w:rsidR="00A046B8" w:rsidRPr="00EA5B6A">
        <w:rPr>
          <w:rFonts w:ascii="Arial Narrow" w:eastAsia="Calibri" w:hAnsi="Arial Narrow" w:cs="Arial"/>
          <w:i/>
          <w:color w:val="000000"/>
          <w:sz w:val="20"/>
          <w:szCs w:val="20"/>
          <w:lang w:val="es-MX" w:eastAsia="en-US"/>
        </w:rPr>
        <w:t>…SIC.</w:t>
      </w:r>
    </w:p>
    <w:p w:rsidR="00035308" w:rsidRDefault="00035308" w:rsidP="00611141">
      <w:pPr>
        <w:spacing w:line="360" w:lineRule="auto"/>
        <w:ind w:firstLine="708"/>
        <w:jc w:val="both"/>
        <w:rPr>
          <w:rFonts w:ascii="Arial" w:hAnsi="Arial"/>
          <w:bCs/>
        </w:rPr>
      </w:pPr>
    </w:p>
    <w:p w:rsidR="001A2DC3" w:rsidRPr="001A2DC3" w:rsidRDefault="00611141" w:rsidP="00611141">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Pr>
          <w:rFonts w:ascii="Arial" w:hAnsi="Arial" w:cs="Arial"/>
        </w:rPr>
        <w:t>información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035308" w:rsidRPr="00035308">
        <w:rPr>
          <w:rFonts w:ascii="Arial" w:eastAsia="Calibri" w:hAnsi="Arial" w:cs="Arial"/>
          <w:b/>
          <w:i/>
          <w:u w:val="single"/>
          <w:lang w:eastAsia="en-US"/>
        </w:rPr>
        <w:t xml:space="preserve">“el contrato </w:t>
      </w:r>
      <w:r w:rsidR="00035308" w:rsidRPr="00035308">
        <w:rPr>
          <w:rFonts w:ascii="Arial" w:eastAsia="Calibri" w:hAnsi="Arial" w:cs="Arial"/>
          <w:b/>
          <w:i/>
          <w:u w:val="single"/>
          <w:lang w:eastAsia="en-US"/>
        </w:rPr>
        <w:lastRenderedPageBreak/>
        <w:t>correspondiente a la licitación pública que se refiere a la digitalización del archivo histórico publicado en la nota periodística.</w:t>
      </w:r>
      <w:r w:rsidR="00BA66CD" w:rsidRPr="00035308">
        <w:rPr>
          <w:rFonts w:ascii="Arial" w:eastAsia="Calibri" w:hAnsi="Arial" w:cs="Arial"/>
          <w:b/>
          <w:i/>
          <w:u w:val="single"/>
          <w:lang w:eastAsia="en-US"/>
        </w:rPr>
        <w:t>”</w:t>
      </w:r>
      <w:r w:rsidR="00233F27">
        <w:rPr>
          <w:rFonts w:ascii="Arial" w:hAnsi="Arial" w:cs="Arial"/>
          <w:lang w:val="es-MX"/>
        </w:rPr>
        <w:t xml:space="preserve">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INFORMACIÓN </w:t>
      </w:r>
      <w:r w:rsidR="00233F27">
        <w:rPr>
          <w:rFonts w:ascii="Arial" w:hAnsi="Arial" w:cs="Arial"/>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 xml:space="preserve">a,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 xml:space="preserve">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 </w:t>
      </w:r>
      <w:r w:rsidR="00475713" w:rsidRPr="00475713">
        <w:rPr>
          <w:rFonts w:ascii="Arial" w:hAnsi="Arial"/>
        </w:rPr>
        <w:lastRenderedPageBreak/>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w:t>
      </w:r>
      <w:r w:rsidRPr="005F4592">
        <w:rPr>
          <w:rFonts w:ascii="Arial Narrow" w:eastAsia="Calibri" w:hAnsi="Arial Narrow" w:cs="Arial"/>
          <w:color w:val="000000"/>
          <w:lang w:val="es-MX" w:eastAsia="en-US"/>
        </w:rPr>
        <w:lastRenderedPageBreak/>
        <w:t xml:space="preserve">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lastRenderedPageBreak/>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que se considera información </w:t>
      </w:r>
      <w:r>
        <w:rPr>
          <w:rFonts w:ascii="Arial" w:hAnsi="Arial" w:cs="Arial"/>
          <w:bCs/>
        </w:rPr>
        <w:t xml:space="preserve">reservada </w:t>
      </w:r>
      <w:r w:rsidR="00C1164C"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035308"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 xml:space="preserve">se reserve la </w:t>
      </w:r>
      <w:r w:rsidR="005F4592" w:rsidRPr="005F4592">
        <w:rPr>
          <w:rFonts w:ascii="Arial" w:hAnsi="Arial"/>
          <w:bCs/>
        </w:rPr>
        <w:lastRenderedPageBreak/>
        <w:t>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035308" w:rsidRDefault="00035308"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w:t>
      </w:r>
      <w:r w:rsidR="00606847">
        <w:rPr>
          <w:rFonts w:ascii="Arial" w:hAnsi="Arial"/>
          <w:bCs/>
        </w:rPr>
        <w:t>9</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lastRenderedPageBreak/>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 xml:space="preserv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lastRenderedPageBreak/>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solicitud </w:t>
      </w:r>
      <w:r w:rsidR="00606847">
        <w:rPr>
          <w:rFonts w:ascii="Arial" w:hAnsi="Arial"/>
        </w:rPr>
        <w:t>0</w:t>
      </w:r>
      <w:r w:rsidR="00BA66CD">
        <w:rPr>
          <w:rFonts w:ascii="Arial" w:hAnsi="Arial"/>
        </w:rPr>
        <w:t>11</w:t>
      </w:r>
      <w:r w:rsidR="00035308">
        <w:rPr>
          <w:rFonts w:ascii="Arial" w:hAnsi="Arial"/>
        </w:rPr>
        <w:t>45</w:t>
      </w:r>
      <w:r w:rsidR="00BA66CD">
        <w:rPr>
          <w:rFonts w:ascii="Arial" w:hAnsi="Arial"/>
        </w:rPr>
        <w:t>9</w:t>
      </w:r>
      <w:r w:rsidR="00606847">
        <w:rPr>
          <w:rFonts w:ascii="Arial" w:hAnsi="Arial"/>
        </w:rPr>
        <w:t>19</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 xml:space="preserve">de la información requerida en la solicitud de información </w:t>
      </w:r>
      <w:r w:rsidR="00606847">
        <w:rPr>
          <w:rFonts w:ascii="Arial" w:hAnsi="Arial" w:cs="Arial"/>
        </w:rPr>
        <w:t>0</w:t>
      </w:r>
      <w:r w:rsidR="00BA66CD">
        <w:rPr>
          <w:rFonts w:ascii="Arial" w:hAnsi="Arial" w:cs="Arial"/>
        </w:rPr>
        <w:t>11</w:t>
      </w:r>
      <w:r w:rsidR="00035308">
        <w:rPr>
          <w:rFonts w:ascii="Arial" w:hAnsi="Arial" w:cs="Arial"/>
        </w:rPr>
        <w:t>45</w:t>
      </w:r>
      <w:r w:rsidR="00BA66CD">
        <w:rPr>
          <w:rFonts w:ascii="Arial" w:hAnsi="Arial" w:cs="Arial"/>
        </w:rPr>
        <w:t>9</w:t>
      </w:r>
      <w:r w:rsidR="00606847">
        <w:rPr>
          <w:rFonts w:ascii="Arial" w:hAnsi="Arial" w:cs="Arial"/>
        </w:rPr>
        <w:t>19</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592601" w:rsidRPr="00592601">
        <w:rPr>
          <w:rFonts w:ascii="Arial" w:hAnsi="Arial" w:cs="Arial"/>
        </w:rPr>
        <w:t>ING. FERNANDO OYERVIDES THOMAS</w:t>
      </w:r>
      <w:r w:rsidR="00592601">
        <w:rPr>
          <w:rFonts w:ascii="Arial" w:hAnsi="Arial" w:cs="Arial"/>
        </w:rPr>
        <w:t xml:space="preserve"> y la </w:t>
      </w:r>
      <w:r w:rsidR="00592601" w:rsidRPr="00592601">
        <w:rPr>
          <w:rFonts w:ascii="Arial" w:hAnsi="Arial" w:cs="Arial"/>
        </w:rPr>
        <w:t>LIC. LETICIA NAYELLI DECANINI SALINAS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p>
    <w:p w:rsidR="00423308" w:rsidRDefault="003B21B3" w:rsidP="00423308">
      <w:pPr>
        <w:spacing w:line="360" w:lineRule="auto"/>
        <w:jc w:val="center"/>
        <w:rPr>
          <w:rFonts w:ascii="Arial" w:hAnsi="Arial" w:cs="Arial"/>
          <w:b/>
        </w:rPr>
      </w:pPr>
      <w:r>
        <w:rPr>
          <w:rFonts w:ascii="Arial" w:hAnsi="Arial" w:cs="Arial"/>
          <w:b/>
        </w:rPr>
        <w:t xml:space="preserve">                                                                                                                                                                                        </w:t>
      </w:r>
    </w:p>
    <w:p w:rsidR="00423308" w:rsidRPr="00621B63" w:rsidRDefault="00423308" w:rsidP="00423308">
      <w:pPr>
        <w:spacing w:line="360" w:lineRule="auto"/>
        <w:jc w:val="center"/>
        <w:rPr>
          <w:rFonts w:ascii="Arial" w:hAnsi="Arial" w:cs="Arial"/>
          <w:b/>
        </w:rPr>
      </w:pPr>
      <w:r w:rsidRPr="00621B63">
        <w:rPr>
          <w:rFonts w:ascii="Arial" w:hAnsi="Arial" w:cs="Arial"/>
          <w:b/>
        </w:rPr>
        <w:t>COMITÉ DE TRANSPARENCIA DEL CONGRESO DEL ESTADO.</w:t>
      </w:r>
    </w:p>
    <w:p w:rsidR="00423308" w:rsidRPr="00621B63" w:rsidRDefault="00423308" w:rsidP="0042330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5C7484" wp14:editId="75EEA07A">
            <wp:extent cx="2347595" cy="826770"/>
            <wp:effectExtent l="0" t="0" r="0" b="0"/>
            <wp:docPr id="19"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lastRenderedPageBreak/>
        <w:t xml:space="preserve">                                           </w:t>
      </w:r>
      <w:r w:rsidRPr="007B2104">
        <w:rPr>
          <w:rFonts w:ascii="Calibri" w:eastAsia="Calibri" w:hAnsi="Calibri"/>
          <w:noProof/>
          <w:sz w:val="22"/>
          <w:szCs w:val="22"/>
          <w:lang w:val="es-MX" w:eastAsia="es-MX"/>
        </w:rPr>
        <w:drawing>
          <wp:inline distT="0" distB="0" distL="0" distR="0" wp14:anchorId="5E8F4ED2" wp14:editId="3ACFC919">
            <wp:extent cx="2857500" cy="1010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BA66CD" w:rsidP="0042330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p>
    <w:p w:rsidR="00423308" w:rsidRDefault="00423308" w:rsidP="0042330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506292C2" wp14:editId="70A4EBAC">
            <wp:extent cx="2533650" cy="725556"/>
            <wp:effectExtent l="0" t="0" r="0" b="0"/>
            <wp:docPr id="21"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355" cy="730053"/>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BA66CD" w:rsidRDefault="00BA66CD" w:rsidP="0042330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 xml:space="preserve">SECRETARIO. </w:t>
      </w:r>
    </w:p>
    <w:sectPr w:rsidR="00BA66CD" w:rsidSect="009D1276">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10" w:rsidRDefault="00976F10" w:rsidP="003B7936">
      <w:r>
        <w:separator/>
      </w:r>
    </w:p>
  </w:endnote>
  <w:endnote w:type="continuationSeparator" w:id="0">
    <w:p w:rsidR="00976F10" w:rsidRDefault="00976F10"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10" w:rsidRDefault="00976F10" w:rsidP="003B7936">
      <w:r>
        <w:separator/>
      </w:r>
    </w:p>
  </w:footnote>
  <w:footnote w:type="continuationSeparator" w:id="0">
    <w:p w:rsidR="00976F10" w:rsidRDefault="00976F10"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1248" w:type="dxa"/>
      <w:jc w:val="right"/>
      <w:tblLook w:val="04A0" w:firstRow="1" w:lastRow="0" w:firstColumn="1" w:lastColumn="0" w:noHBand="0" w:noVBand="1"/>
    </w:tblPr>
    <w:tblGrid>
      <w:gridCol w:w="1613"/>
      <w:gridCol w:w="9335"/>
      <w:gridCol w:w="300"/>
    </w:tblGrid>
    <w:tr w:rsidR="002075A8" w:rsidRPr="002075A8" w:rsidTr="009B360E">
      <w:trPr>
        <w:trHeight w:val="1068"/>
        <w:jc w:val="right"/>
      </w:trPr>
      <w:tc>
        <w:tcPr>
          <w:tcW w:w="1613" w:type="dxa"/>
        </w:tcPr>
        <w:p w:rsidR="002075A8" w:rsidRPr="002075A8" w:rsidRDefault="002075A8" w:rsidP="002075A8">
          <w:pPr>
            <w:jc w:val="center"/>
            <w:rPr>
              <w:rFonts w:ascii="Arial" w:hAnsi="Arial"/>
              <w:b/>
              <w:bCs/>
              <w:sz w:val="12"/>
              <w:szCs w:val="20"/>
              <w:lang w:val="es-MX"/>
            </w:rPr>
          </w:pPr>
          <w:bookmarkStart w:id="1" w:name="_Hlk530582131"/>
        </w:p>
        <w:p w:rsidR="002075A8" w:rsidRPr="002075A8" w:rsidRDefault="002075A8" w:rsidP="002075A8">
          <w:pPr>
            <w:jc w:val="center"/>
            <w:rPr>
              <w:rFonts w:ascii="Arial" w:hAnsi="Arial"/>
              <w:b/>
              <w:bCs/>
              <w:sz w:val="12"/>
              <w:szCs w:val="20"/>
              <w:lang w:val="es-MX"/>
            </w:rPr>
          </w:pPr>
          <w:r w:rsidRPr="002075A8">
            <w:rPr>
              <w:rFonts w:ascii="Calibri" w:eastAsia="Calibri" w:hAnsi="Calibri"/>
              <w:noProof/>
              <w:sz w:val="22"/>
              <w:szCs w:val="22"/>
              <w:lang w:val="es-MX" w:eastAsia="es-MX"/>
            </w:rPr>
            <w:drawing>
              <wp:anchor distT="0" distB="0" distL="114300" distR="114300" simplePos="0" relativeHeight="251657216" behindDoc="0" locked="0" layoutInCell="1" allowOverlap="1" wp14:anchorId="68D4B97B" wp14:editId="43DCA0D0">
                <wp:simplePos x="0" y="0"/>
                <wp:positionH relativeFrom="column">
                  <wp:posOffset>701040</wp:posOffset>
                </wp:positionH>
                <wp:positionV relativeFrom="paragraph">
                  <wp:posOffset>67310</wp:posOffset>
                </wp:positionV>
                <wp:extent cx="673735" cy="661670"/>
                <wp:effectExtent l="0" t="0" r="0" b="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tc>
      <w:tc>
        <w:tcPr>
          <w:tcW w:w="9335" w:type="dxa"/>
        </w:tcPr>
        <w:p w:rsidR="002075A8" w:rsidRPr="002075A8" w:rsidRDefault="002075A8" w:rsidP="002075A8">
          <w:pPr>
            <w:jc w:val="both"/>
            <w:rPr>
              <w:rFonts w:cs="Arial"/>
              <w:bCs/>
              <w:smallCaps/>
              <w:spacing w:val="20"/>
              <w:sz w:val="32"/>
              <w:szCs w:val="32"/>
              <w:lang w:val="es-MX"/>
            </w:rPr>
          </w:pPr>
          <w:r w:rsidRPr="002075A8">
            <w:rPr>
              <w:rFonts w:ascii="Calibri" w:eastAsia="Calibri" w:hAnsi="Calibri"/>
              <w:noProof/>
              <w:sz w:val="22"/>
              <w:szCs w:val="22"/>
              <w:lang w:val="es-MX" w:eastAsia="es-MX"/>
            </w:rPr>
            <w:drawing>
              <wp:anchor distT="0" distB="0" distL="114300" distR="114300" simplePos="0" relativeHeight="251658240" behindDoc="0" locked="0" layoutInCell="1" allowOverlap="1" wp14:anchorId="02123271" wp14:editId="0F25DB97">
                <wp:simplePos x="0" y="0"/>
                <wp:positionH relativeFrom="column">
                  <wp:posOffset>5350510</wp:posOffset>
                </wp:positionH>
                <wp:positionV relativeFrom="paragraph">
                  <wp:posOffset>33655</wp:posOffset>
                </wp:positionV>
                <wp:extent cx="981710" cy="1010285"/>
                <wp:effectExtent l="0" t="0" r="0" b="0"/>
                <wp:wrapNone/>
                <wp:docPr id="1" name="Imagen 1" descr="LO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_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5A8" w:rsidRPr="002075A8" w:rsidRDefault="002075A8" w:rsidP="002075A8">
          <w:pPr>
            <w:jc w:val="both"/>
            <w:rPr>
              <w:rFonts w:ascii="Arial" w:hAnsi="Arial"/>
              <w:b/>
              <w:bCs/>
              <w:szCs w:val="20"/>
              <w:lang w:val="es-MX"/>
            </w:rPr>
          </w:pPr>
          <w:r w:rsidRPr="002075A8">
            <w:rPr>
              <w:rFonts w:cs="Arial"/>
              <w:bCs/>
              <w:smallCaps/>
              <w:spacing w:val="20"/>
              <w:sz w:val="32"/>
              <w:szCs w:val="32"/>
              <w:lang w:val="es-MX"/>
            </w:rPr>
            <w:t xml:space="preserve">                   Congreso del Estado Independiente,</w:t>
          </w:r>
        </w:p>
        <w:p w:rsidR="002075A8" w:rsidRPr="002075A8" w:rsidRDefault="002075A8" w:rsidP="002075A8">
          <w:pPr>
            <w:tabs>
              <w:tab w:val="center" w:pos="4252"/>
              <w:tab w:val="left" w:pos="5040"/>
              <w:tab w:val="right" w:pos="8504"/>
            </w:tabs>
            <w:jc w:val="both"/>
            <w:rPr>
              <w:rFonts w:cs="Arial"/>
              <w:bCs/>
              <w:smallCaps/>
              <w:spacing w:val="20"/>
              <w:sz w:val="32"/>
              <w:szCs w:val="32"/>
              <w:lang w:val="es-MX"/>
            </w:rPr>
          </w:pPr>
          <w:r w:rsidRPr="002075A8">
            <w:rPr>
              <w:rFonts w:cs="Arial"/>
              <w:bCs/>
              <w:smallCaps/>
              <w:spacing w:val="20"/>
              <w:sz w:val="32"/>
              <w:szCs w:val="32"/>
              <w:lang w:val="es-MX"/>
            </w:rPr>
            <w:t xml:space="preserve">           Libre y Soberano de Coahuila de Zaragoza</w:t>
          </w:r>
        </w:p>
        <w:p w:rsidR="002075A8" w:rsidRPr="002075A8" w:rsidRDefault="002075A8" w:rsidP="002075A8">
          <w:pPr>
            <w:ind w:right="-672"/>
            <w:jc w:val="both"/>
            <w:rPr>
              <w:rFonts w:ascii="Arial" w:hAnsi="Arial"/>
              <w:b/>
              <w:bCs/>
              <w:sz w:val="15"/>
              <w:szCs w:val="15"/>
              <w:lang w:val="es-MX"/>
            </w:rPr>
          </w:pPr>
          <w:r w:rsidRPr="002075A8">
            <w:rPr>
              <w:rFonts w:ascii="Arial" w:hAnsi="Arial"/>
              <w:b/>
              <w:bCs/>
              <w:sz w:val="15"/>
              <w:szCs w:val="15"/>
              <w:lang w:val="es-MX"/>
            </w:rPr>
            <w:t xml:space="preserve">                     “2019, Año del respeto y protección de los derechos humanos en el Estado de Coahuila de Zaragoza”</w:t>
          </w:r>
        </w:p>
      </w:tc>
      <w:tc>
        <w:tcPr>
          <w:tcW w:w="300" w:type="dxa"/>
        </w:tcPr>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tc>
    </w:tr>
    <w:bookmarkEnd w:id="1"/>
  </w:tbl>
  <w:p w:rsidR="00165C72" w:rsidRDefault="00165C72" w:rsidP="00207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35308"/>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80BF6"/>
    <w:rsid w:val="00182BD0"/>
    <w:rsid w:val="00185644"/>
    <w:rsid w:val="00187C5C"/>
    <w:rsid w:val="00193934"/>
    <w:rsid w:val="001A1DFC"/>
    <w:rsid w:val="001A2DC3"/>
    <w:rsid w:val="001B18F4"/>
    <w:rsid w:val="001B4C30"/>
    <w:rsid w:val="001C4A4F"/>
    <w:rsid w:val="001C71BD"/>
    <w:rsid w:val="001D3F82"/>
    <w:rsid w:val="001D50D9"/>
    <w:rsid w:val="001E2041"/>
    <w:rsid w:val="001F61C9"/>
    <w:rsid w:val="001F71B1"/>
    <w:rsid w:val="00205D0A"/>
    <w:rsid w:val="00206852"/>
    <w:rsid w:val="002075A8"/>
    <w:rsid w:val="00211FB6"/>
    <w:rsid w:val="00233F27"/>
    <w:rsid w:val="00243C9F"/>
    <w:rsid w:val="0024402F"/>
    <w:rsid w:val="0024620A"/>
    <w:rsid w:val="002537BD"/>
    <w:rsid w:val="00256749"/>
    <w:rsid w:val="002640FD"/>
    <w:rsid w:val="00282CF7"/>
    <w:rsid w:val="00282E6F"/>
    <w:rsid w:val="002901ED"/>
    <w:rsid w:val="00290D3F"/>
    <w:rsid w:val="0029377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2061"/>
    <w:rsid w:val="003B21B3"/>
    <w:rsid w:val="003B2A6E"/>
    <w:rsid w:val="003B71B3"/>
    <w:rsid w:val="003B7936"/>
    <w:rsid w:val="003C5793"/>
    <w:rsid w:val="003C61C2"/>
    <w:rsid w:val="003F32EB"/>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71206F"/>
    <w:rsid w:val="00722B7A"/>
    <w:rsid w:val="00732252"/>
    <w:rsid w:val="00750905"/>
    <w:rsid w:val="00760A97"/>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64925"/>
    <w:rsid w:val="00876C73"/>
    <w:rsid w:val="008957A1"/>
    <w:rsid w:val="008A02BA"/>
    <w:rsid w:val="008A04D2"/>
    <w:rsid w:val="008B0EDF"/>
    <w:rsid w:val="008C57ED"/>
    <w:rsid w:val="008D1A38"/>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76F10"/>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4EC3"/>
    <w:rsid w:val="00B1507F"/>
    <w:rsid w:val="00B17298"/>
    <w:rsid w:val="00B20C5C"/>
    <w:rsid w:val="00B25651"/>
    <w:rsid w:val="00B406DB"/>
    <w:rsid w:val="00B46B51"/>
    <w:rsid w:val="00B52209"/>
    <w:rsid w:val="00B54543"/>
    <w:rsid w:val="00B628BA"/>
    <w:rsid w:val="00B64585"/>
    <w:rsid w:val="00B70060"/>
    <w:rsid w:val="00B7218E"/>
    <w:rsid w:val="00B76BAA"/>
    <w:rsid w:val="00B76DD2"/>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902FA"/>
    <w:rsid w:val="00C927DF"/>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E00"/>
    <w:rsid w:val="00E21091"/>
    <w:rsid w:val="00E47E92"/>
    <w:rsid w:val="00E56C86"/>
    <w:rsid w:val="00E6793F"/>
    <w:rsid w:val="00E70823"/>
    <w:rsid w:val="00E87099"/>
    <w:rsid w:val="00E93D1F"/>
    <w:rsid w:val="00E94989"/>
    <w:rsid w:val="00EA5B6A"/>
    <w:rsid w:val="00EB4329"/>
    <w:rsid w:val="00EB5F61"/>
    <w:rsid w:val="00EB644B"/>
    <w:rsid w:val="00EC0B07"/>
    <w:rsid w:val="00EC21DE"/>
    <w:rsid w:val="00EC48A0"/>
    <w:rsid w:val="00ED0146"/>
    <w:rsid w:val="00ED06CF"/>
    <w:rsid w:val="00ED2563"/>
    <w:rsid w:val="00ED5008"/>
    <w:rsid w:val="00EF0488"/>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020AD-B129-4048-8298-F8D4002B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3672</Words>
  <Characters>20201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2019-10-31T18:22:00Z</cp:lastPrinted>
  <dcterms:created xsi:type="dcterms:W3CDTF">2019-11-08T19:47:00Z</dcterms:created>
  <dcterms:modified xsi:type="dcterms:W3CDTF">2019-11-08T19:47:00Z</dcterms:modified>
</cp:coreProperties>
</file>